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9171F" w14:textId="77777777" w:rsidR="00DB4D57" w:rsidRDefault="00000000">
      <w:pPr>
        <w:pStyle w:val="Pieddepage"/>
      </w:pPr>
      <w:r>
        <w:rPr>
          <w:noProof/>
          <w14:ligatures w14:val="standardContextual"/>
        </w:rPr>
        <w:drawing>
          <wp:inline distT="0" distB="0" distL="0" distR="0" wp14:anchorId="56003108" wp14:editId="030D1D64">
            <wp:extent cx="2275030" cy="365760"/>
            <wp:effectExtent l="0" t="0" r="0" b="0"/>
            <wp:docPr id="744659610" name="Image 1" descr="Une image contenant Police, Graphiqu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9610" name="Image 1" descr="Une image contenant Police, Graphique, graphisme,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0371" cy="368226"/>
                    </a:xfrm>
                    <a:prstGeom prst="rect">
                      <a:avLst/>
                    </a:prstGeom>
                  </pic:spPr>
                </pic:pic>
              </a:graphicData>
            </a:graphic>
          </wp:inline>
        </w:drawing>
      </w:r>
      <w:r>
        <w:tab/>
      </w:r>
      <w:r>
        <w:tab/>
      </w:r>
    </w:p>
    <w:p w14:paraId="09CD0F7B" w14:textId="58E89FD3" w:rsidR="00833E98" w:rsidRDefault="0061751A" w:rsidP="00833E98">
      <w:pPr>
        <w:pStyle w:val="Standard"/>
      </w:pPr>
      <w:r>
        <w:rPr>
          <w:noProof/>
        </w:rPr>
        <mc:AlternateContent>
          <mc:Choice Requires="wps">
            <w:drawing>
              <wp:anchor distT="45720" distB="45720" distL="114300" distR="114300" simplePos="0" relativeHeight="251661312" behindDoc="0" locked="0" layoutInCell="1" allowOverlap="1" wp14:anchorId="680961D0" wp14:editId="7133039A">
                <wp:simplePos x="0" y="0"/>
                <wp:positionH relativeFrom="margin">
                  <wp:posOffset>4445</wp:posOffset>
                </wp:positionH>
                <wp:positionV relativeFrom="paragraph">
                  <wp:posOffset>4600412</wp:posOffset>
                </wp:positionV>
                <wp:extent cx="6115685" cy="1404620"/>
                <wp:effectExtent l="0" t="0" r="0" b="0"/>
                <wp:wrapTopAndBottom/>
                <wp:docPr id="1425452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404620"/>
                        </a:xfrm>
                        <a:prstGeom prst="rect">
                          <a:avLst/>
                        </a:prstGeom>
                        <a:noFill/>
                        <a:ln w="9525">
                          <a:noFill/>
                          <a:miter lim="800000"/>
                          <a:headEnd/>
                          <a:tailEnd/>
                        </a:ln>
                      </wps:spPr>
                      <wps:txbx>
                        <w:txbxContent>
                          <w:p w14:paraId="5B021229" w14:textId="5F73D3E2" w:rsidR="00DB4D57" w:rsidRDefault="00000000">
                            <w:pPr>
                              <w:rPr>
                                <w:b/>
                                <w:bCs/>
                                <w:sz w:val="36"/>
                                <w:szCs w:val="36"/>
                              </w:rPr>
                            </w:pPr>
                            <w:r>
                              <w:rPr>
                                <w:b/>
                                <w:bCs/>
                                <w:sz w:val="36"/>
                                <w:szCs w:val="36"/>
                              </w:rPr>
                              <w:t xml:space="preserve">OVHcloud Environmental </w:t>
                            </w:r>
                            <w:r w:rsidR="00705D13">
                              <w:rPr>
                                <w:b/>
                                <w:bCs/>
                                <w:sz w:val="36"/>
                                <w:szCs w:val="36"/>
                              </w:rPr>
                              <w:t xml:space="preserve">Impact Tracker </w:t>
                            </w:r>
                            <w:r>
                              <w:rPr>
                                <w:b/>
                                <w:bCs/>
                                <w:sz w:val="36"/>
                                <w:szCs w:val="36"/>
                              </w:rPr>
                              <w:t>Methodology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0961D0" id="_x0000_t202" coordsize="21600,21600" o:spt="202" path="m,l,21600r21600,l21600,xe">
                <v:stroke joinstyle="miter"/>
                <v:path gradientshapeok="t" o:connecttype="rect"/>
              </v:shapetype>
              <v:shape id="Zone de texte 2" o:spid="_x0000_s1026" type="#_x0000_t202" style="position:absolute;margin-left:.35pt;margin-top:362.25pt;width:481.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" filled="f" stroked="f">
                <v:textbox style="mso-fit-shape-to-text:t">
                  <w:txbxContent>
                    <w:p w14:paraId="5B021229" w14:textId="5F73D3E2" w:rsidR="00DB4D57" w:rsidRDefault="00000000">
                      <w:pPr>
                        <w:rPr>
                          <w:b/>
                          <w:bCs/>
                          <w:sz w:val="36"/>
                          <w:szCs w:val="36"/>
                        </w:rPr>
                      </w:pPr>
                      <w:r>
                        <w:rPr>
                          <w:b/>
                          <w:bCs/>
                          <w:sz w:val="36"/>
                          <w:szCs w:val="36"/>
                        </w:rPr>
                        <w:t xml:space="preserve">OVHcloud Environmental </w:t>
                      </w:r>
                      <w:r w:rsidR="00705D13">
                        <w:rPr>
                          <w:b/>
                          <w:bCs/>
                          <w:sz w:val="36"/>
                          <w:szCs w:val="36"/>
                        </w:rPr>
                        <w:t xml:space="preserve">Impact Tracker </w:t>
                      </w:r>
                      <w:r>
                        <w:rPr>
                          <w:b/>
                          <w:bCs/>
                          <w:sz w:val="36"/>
                          <w:szCs w:val="36"/>
                        </w:rPr>
                        <w:t>Methodology</w:t>
                      </w:r>
                    </w:p>
                  </w:txbxContent>
                </v:textbox>
                <w10:wrap type="topAndBottom" anchorx="margin"/>
              </v:shape>
            </w:pict>
          </mc:Fallback>
        </mc:AlternateContent>
      </w:r>
      <w:r w:rsidR="00E3479B">
        <w:rPr>
          <w:noProof/>
        </w:rPr>
        <mc:AlternateContent>
          <mc:Choice Requires="wps">
            <w:drawing>
              <wp:anchor distT="45720" distB="45720" distL="114300" distR="114300" simplePos="0" relativeHeight="251660288" behindDoc="0" locked="0" layoutInCell="1" allowOverlap="1" wp14:anchorId="7F05CD40" wp14:editId="6F484AED">
                <wp:simplePos x="0" y="0"/>
                <wp:positionH relativeFrom="margin">
                  <wp:posOffset>3810</wp:posOffset>
                </wp:positionH>
                <wp:positionV relativeFrom="paragraph">
                  <wp:posOffset>1682096</wp:posOffset>
                </wp:positionV>
                <wp:extent cx="5359400" cy="1404620"/>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noFill/>
                        <a:ln w="9525">
                          <a:noFill/>
                          <a:miter lim="800000"/>
                          <a:headEnd/>
                          <a:tailEnd/>
                        </a:ln>
                      </wps:spPr>
                      <wps:txbx>
                        <w:txbxContent>
                          <w:p w14:paraId="551E4429" w14:textId="77777777" w:rsidR="00DB4D57" w:rsidRDefault="00000000">
                            <w:pPr>
                              <w:rPr>
                                <w:b/>
                                <w:bCs/>
                                <w:color w:val="000D9C"/>
                                <w:sz w:val="96"/>
                                <w:szCs w:val="96"/>
                              </w:rPr>
                            </w:pPr>
                            <w:r>
                              <w:rPr>
                                <w:b/>
                                <w:bCs/>
                                <w:color w:val="000D9C"/>
                                <w:sz w:val="96"/>
                                <w:szCs w:val="96"/>
                              </w:rPr>
                              <w:t>Cloud environmental footprint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5CD40" id="_x0000_s1027" type="#_x0000_t202" style="position:absolute;margin-left:.3pt;margin-top:132.45pt;width:422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" filled="f" stroked="f">
                <v:textbox style="mso-fit-shape-to-text:t">
                  <w:txbxContent>
                    <w:p w14:paraId="551E4429" w14:textId="77777777" w:rsidR="00DB4D57" w:rsidRDefault="00000000">
                      <w:pPr>
                        <w:rPr>
                          <w:b/>
                          <w:bCs/>
                          <w:color w:val="000D9C"/>
                          <w:sz w:val="96"/>
                          <w:szCs w:val="96"/>
                        </w:rPr>
                      </w:pPr>
                      <w:r>
                        <w:rPr>
                          <w:b/>
                          <w:bCs/>
                          <w:color w:val="000D9C"/>
                          <w:sz w:val="96"/>
                          <w:szCs w:val="96"/>
                        </w:rPr>
                        <w:t>Cloud environmental footprint</w:t>
                      </w:r>
                    </w:p>
                  </w:txbxContent>
                </v:textbox>
                <w10:wrap type="topAndBottom" anchorx="margin"/>
              </v:shape>
            </w:pict>
          </mc:Fallback>
        </mc:AlternateContent>
      </w:r>
    </w:p>
    <w:p w14:paraId="7C5C4D60" w14:textId="77777777" w:rsidR="00332D36" w:rsidRDefault="00332D36" w:rsidP="0061751A">
      <w:pPr>
        <w:pStyle w:val="Titre1"/>
        <w:sectPr w:rsidR="00332D36" w:rsidSect="0039747F">
          <w:footerReference w:type="default" r:id="rId9"/>
          <w:footerReference w:type="first" r:id="rId10"/>
          <w:pgSz w:w="11906" w:h="16838"/>
          <w:pgMar w:top="1134" w:right="1134" w:bottom="991" w:left="1134" w:header="340" w:footer="342" w:gutter="0"/>
          <w:cols w:space="720"/>
          <w:titlePg/>
          <w:docGrid w:linePitch="326"/>
        </w:sectPr>
      </w:pPr>
    </w:p>
    <w:p w14:paraId="37B8FC92" w14:textId="77777777" w:rsidR="00332D36" w:rsidRDefault="00332D36" w:rsidP="00315CA6">
      <w:pPr>
        <w:pStyle w:val="ContentsHeading"/>
        <w:framePr w:wrap="around"/>
        <w:sectPr w:rsidR="00332D36" w:rsidSect="0039747F">
          <w:footerReference w:type="first" r:id="rId11"/>
          <w:pgSz w:w="11906" w:h="16838"/>
          <w:pgMar w:top="1134" w:right="1134" w:bottom="991" w:left="1134" w:header="340" w:footer="342" w:gutter="0"/>
          <w:cols w:space="720"/>
          <w:titlePg/>
          <w:docGrid w:linePitch="326"/>
        </w:sectPr>
      </w:pPr>
    </w:p>
    <w:sdt>
      <w:sdtPr>
        <w:rPr>
          <w:rFonts w:ascii="Liberation Serif" w:eastAsia="Noto Serif CJK SC" w:hAnsi="Liberation Serif" w:cs="Lohit Devanagari"/>
          <w:b w:val="0"/>
          <w:bCs w:val="0"/>
          <w:color w:val="auto"/>
          <w:kern w:val="3"/>
          <w:sz w:val="24"/>
          <w:szCs w:val="24"/>
          <w:shd w:val="clear" w:color="auto" w:fill="FFFFFF"/>
          <w:lang w:eastAsia="zh-CN" w:bidi="hi-IN"/>
        </w:rPr>
        <w:id w:val="22600340"/>
        <w:docPartObj>
          <w:docPartGallery w:val="Table of Contents"/>
          <w:docPartUnique/>
        </w:docPartObj>
      </w:sdtPr>
      <w:sdtEndPr>
        <w:rPr>
          <w:rFonts w:ascii="Source Sans Pro" w:eastAsia="Times New Roman" w:hAnsi="Source Sans Pro" w:cstheme="majorHAnsi"/>
          <w:noProof/>
          <w:kern w:val="0"/>
          <w:shd w:val="clear" w:color="auto" w:fill="auto"/>
          <w:lang w:eastAsia="fr-FR" w:bidi="ar-SA"/>
        </w:rPr>
      </w:sdtEndPr>
      <w:sdtContent>
        <w:p w14:paraId="680519FF" w14:textId="77777777" w:rsidR="00DB4D57" w:rsidRDefault="00000000">
          <w:pPr>
            <w:pStyle w:val="En-ttedetabledesmatires"/>
          </w:pPr>
          <w:r>
            <w:t>Table of contents</w:t>
          </w:r>
        </w:p>
        <w:p w14:paraId="6D0E34CC" w14:textId="5F728F24" w:rsidR="003D773D" w:rsidRDefault="00C37BF8">
          <w:pPr>
            <w:pStyle w:val="TM1"/>
            <w:rPr>
              <w:rFonts w:eastAsiaTheme="minorEastAsia" w:cstheme="minorBidi"/>
              <w:b w:val="0"/>
              <w:bCs w:val="0"/>
              <w:i w:val="0"/>
              <w:iCs w:val="0"/>
              <w:noProof/>
              <w:kern w:val="2"/>
              <w:lang w:val="fr-FR"/>
              <w14:ligatures w14:val="standardContextual"/>
            </w:rPr>
          </w:pPr>
          <w:r>
            <w:fldChar w:fldCharType="begin"/>
          </w:r>
          <w:r>
            <w:instrText>TOC \o "1-3" \h \z \u</w:instrText>
          </w:r>
          <w:r>
            <w:fldChar w:fldCharType="separate"/>
          </w:r>
          <w:hyperlink w:anchor="_Toc202948801" w:history="1"/>
        </w:p>
        <w:p w14:paraId="550C64B4" w14:textId="67B22039" w:rsidR="003D773D" w:rsidRDefault="003D773D">
          <w:pPr>
            <w:pStyle w:val="TM1"/>
            <w:tabs>
              <w:tab w:val="left" w:pos="480"/>
            </w:tabs>
            <w:rPr>
              <w:rFonts w:eastAsiaTheme="minorEastAsia" w:cstheme="minorBidi"/>
              <w:b w:val="0"/>
              <w:bCs w:val="0"/>
              <w:i w:val="0"/>
              <w:iCs w:val="0"/>
              <w:noProof/>
              <w:kern w:val="2"/>
              <w:lang w:val="fr-FR"/>
              <w14:ligatures w14:val="standardContextual"/>
            </w:rPr>
          </w:pPr>
          <w:hyperlink w:anchor="_Toc202948802" w:history="1">
            <w:r w:rsidRPr="00B16E26">
              <w:rPr>
                <w:rStyle w:val="Lienhypertexte"/>
                <w:noProof/>
              </w:rPr>
              <w:t>1</w:t>
            </w:r>
            <w:r>
              <w:rPr>
                <w:rFonts w:eastAsiaTheme="minorEastAsia" w:cstheme="minorBidi"/>
                <w:b w:val="0"/>
                <w:bCs w:val="0"/>
                <w:i w:val="0"/>
                <w:iCs w:val="0"/>
                <w:noProof/>
                <w:kern w:val="2"/>
                <w:lang w:val="fr-FR"/>
                <w14:ligatures w14:val="standardContextual"/>
              </w:rPr>
              <w:tab/>
            </w:r>
            <w:r w:rsidRPr="00B16E26">
              <w:rPr>
                <w:rStyle w:val="Lienhypertexte"/>
                <w:noProof/>
              </w:rPr>
              <w:t>Comprehensive approach to accounting for GHG emissions</w:t>
            </w:r>
            <w:r>
              <w:rPr>
                <w:noProof/>
                <w:webHidden/>
              </w:rPr>
              <w:tab/>
            </w:r>
            <w:r>
              <w:rPr>
                <w:noProof/>
                <w:webHidden/>
              </w:rPr>
              <w:fldChar w:fldCharType="begin"/>
            </w:r>
            <w:r>
              <w:rPr>
                <w:noProof/>
                <w:webHidden/>
              </w:rPr>
              <w:instrText xml:space="preserve"> PAGEREF _Toc202948802 \h </w:instrText>
            </w:r>
            <w:r>
              <w:rPr>
                <w:noProof/>
                <w:webHidden/>
              </w:rPr>
            </w:r>
            <w:r>
              <w:rPr>
                <w:noProof/>
                <w:webHidden/>
              </w:rPr>
              <w:fldChar w:fldCharType="separate"/>
            </w:r>
            <w:r>
              <w:rPr>
                <w:noProof/>
                <w:webHidden/>
              </w:rPr>
              <w:t>2</w:t>
            </w:r>
            <w:r>
              <w:rPr>
                <w:noProof/>
                <w:webHidden/>
              </w:rPr>
              <w:fldChar w:fldCharType="end"/>
            </w:r>
          </w:hyperlink>
        </w:p>
        <w:p w14:paraId="57802B20" w14:textId="6F17140A"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03" w:history="1">
            <w:r w:rsidRPr="00B16E26">
              <w:rPr>
                <w:rStyle w:val="Lienhypertexte"/>
                <w:noProof/>
              </w:rPr>
              <w:t>1.1</w:t>
            </w:r>
            <w:r>
              <w:rPr>
                <w:rFonts w:eastAsiaTheme="minorEastAsia" w:cstheme="minorBidi"/>
                <w:b w:val="0"/>
                <w:bCs w:val="0"/>
                <w:noProof/>
                <w:kern w:val="2"/>
                <w:sz w:val="24"/>
                <w:szCs w:val="24"/>
                <w:lang w:val="fr-FR"/>
                <w14:ligatures w14:val="standardContextual"/>
              </w:rPr>
              <w:tab/>
            </w:r>
            <w:r w:rsidRPr="00B16E26">
              <w:rPr>
                <w:rStyle w:val="Lienhypertexte"/>
                <w:noProof/>
              </w:rPr>
              <w:t>Commitment in providing transparent, comprehensive and reliable information</w:t>
            </w:r>
            <w:r>
              <w:rPr>
                <w:noProof/>
                <w:webHidden/>
              </w:rPr>
              <w:tab/>
            </w:r>
            <w:r>
              <w:rPr>
                <w:noProof/>
                <w:webHidden/>
              </w:rPr>
              <w:fldChar w:fldCharType="begin"/>
            </w:r>
            <w:r>
              <w:rPr>
                <w:noProof/>
                <w:webHidden/>
              </w:rPr>
              <w:instrText xml:space="preserve"> PAGEREF _Toc202948803 \h </w:instrText>
            </w:r>
            <w:r>
              <w:rPr>
                <w:noProof/>
                <w:webHidden/>
              </w:rPr>
            </w:r>
            <w:r>
              <w:rPr>
                <w:noProof/>
                <w:webHidden/>
              </w:rPr>
              <w:fldChar w:fldCharType="separate"/>
            </w:r>
            <w:r>
              <w:rPr>
                <w:noProof/>
                <w:webHidden/>
              </w:rPr>
              <w:t>2</w:t>
            </w:r>
            <w:r>
              <w:rPr>
                <w:noProof/>
                <w:webHidden/>
              </w:rPr>
              <w:fldChar w:fldCharType="end"/>
            </w:r>
          </w:hyperlink>
        </w:p>
        <w:p w14:paraId="6B034D61" w14:textId="45617829"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04" w:history="1">
            <w:r w:rsidRPr="00B16E26">
              <w:rPr>
                <w:rStyle w:val="Lienhypertexte"/>
                <w:noProof/>
              </w:rPr>
              <w:t>1.2</w:t>
            </w:r>
            <w:r>
              <w:rPr>
                <w:rFonts w:eastAsiaTheme="minorEastAsia" w:cstheme="minorBidi"/>
                <w:b w:val="0"/>
                <w:bCs w:val="0"/>
                <w:noProof/>
                <w:kern w:val="2"/>
                <w:sz w:val="24"/>
                <w:szCs w:val="24"/>
                <w:lang w:val="fr-FR"/>
                <w14:ligatures w14:val="standardContextual"/>
              </w:rPr>
              <w:tab/>
            </w:r>
            <w:r w:rsidRPr="00B16E26">
              <w:rPr>
                <w:rStyle w:val="Lienhypertexte"/>
                <w:noProof/>
              </w:rPr>
              <w:t>Selection of products addressed</w:t>
            </w:r>
            <w:r>
              <w:rPr>
                <w:noProof/>
                <w:webHidden/>
              </w:rPr>
              <w:tab/>
            </w:r>
            <w:r>
              <w:rPr>
                <w:noProof/>
                <w:webHidden/>
              </w:rPr>
              <w:fldChar w:fldCharType="begin"/>
            </w:r>
            <w:r>
              <w:rPr>
                <w:noProof/>
                <w:webHidden/>
              </w:rPr>
              <w:instrText xml:space="preserve"> PAGEREF _Toc202948804 \h </w:instrText>
            </w:r>
            <w:r>
              <w:rPr>
                <w:noProof/>
                <w:webHidden/>
              </w:rPr>
            </w:r>
            <w:r>
              <w:rPr>
                <w:noProof/>
                <w:webHidden/>
              </w:rPr>
              <w:fldChar w:fldCharType="separate"/>
            </w:r>
            <w:r>
              <w:rPr>
                <w:noProof/>
                <w:webHidden/>
              </w:rPr>
              <w:t>3</w:t>
            </w:r>
            <w:r>
              <w:rPr>
                <w:noProof/>
                <w:webHidden/>
              </w:rPr>
              <w:fldChar w:fldCharType="end"/>
            </w:r>
          </w:hyperlink>
        </w:p>
        <w:p w14:paraId="78BC6B82" w14:textId="3B3E4C52"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05" w:history="1">
            <w:r w:rsidRPr="00B16E26">
              <w:rPr>
                <w:rStyle w:val="Lienhypertexte"/>
                <w:noProof/>
              </w:rPr>
              <w:t>1.3</w:t>
            </w:r>
            <w:r>
              <w:rPr>
                <w:rFonts w:eastAsiaTheme="minorEastAsia" w:cstheme="minorBidi"/>
                <w:b w:val="0"/>
                <w:bCs w:val="0"/>
                <w:noProof/>
                <w:kern w:val="2"/>
                <w:sz w:val="24"/>
                <w:szCs w:val="24"/>
                <w:lang w:val="fr-FR"/>
                <w14:ligatures w14:val="standardContextual"/>
              </w:rPr>
              <w:tab/>
            </w:r>
            <w:r w:rsidRPr="00B16E26">
              <w:rPr>
                <w:rStyle w:val="Lienhypertexte"/>
                <w:noProof/>
              </w:rPr>
              <w:t>General approach for calculating environmental footprint</w:t>
            </w:r>
            <w:r>
              <w:rPr>
                <w:noProof/>
                <w:webHidden/>
              </w:rPr>
              <w:tab/>
            </w:r>
            <w:r>
              <w:rPr>
                <w:noProof/>
                <w:webHidden/>
              </w:rPr>
              <w:fldChar w:fldCharType="begin"/>
            </w:r>
            <w:r>
              <w:rPr>
                <w:noProof/>
                <w:webHidden/>
              </w:rPr>
              <w:instrText xml:space="preserve"> PAGEREF _Toc202948805 \h </w:instrText>
            </w:r>
            <w:r>
              <w:rPr>
                <w:noProof/>
                <w:webHidden/>
              </w:rPr>
            </w:r>
            <w:r>
              <w:rPr>
                <w:noProof/>
                <w:webHidden/>
              </w:rPr>
              <w:fldChar w:fldCharType="separate"/>
            </w:r>
            <w:r>
              <w:rPr>
                <w:noProof/>
                <w:webHidden/>
              </w:rPr>
              <w:t>4</w:t>
            </w:r>
            <w:r>
              <w:rPr>
                <w:noProof/>
                <w:webHidden/>
              </w:rPr>
              <w:fldChar w:fldCharType="end"/>
            </w:r>
          </w:hyperlink>
        </w:p>
        <w:p w14:paraId="6F75625E" w14:textId="646FF5CE" w:rsidR="003D773D" w:rsidRDefault="003D773D">
          <w:pPr>
            <w:pStyle w:val="TM1"/>
            <w:tabs>
              <w:tab w:val="left" w:pos="480"/>
            </w:tabs>
            <w:rPr>
              <w:rFonts w:eastAsiaTheme="minorEastAsia" w:cstheme="minorBidi"/>
              <w:b w:val="0"/>
              <w:bCs w:val="0"/>
              <w:i w:val="0"/>
              <w:iCs w:val="0"/>
              <w:noProof/>
              <w:kern w:val="2"/>
              <w:lang w:val="fr-FR"/>
              <w14:ligatures w14:val="standardContextual"/>
            </w:rPr>
          </w:pPr>
          <w:hyperlink w:anchor="_Toc202948806" w:history="1">
            <w:r w:rsidRPr="00B16E26">
              <w:rPr>
                <w:rStyle w:val="Lienhypertexte"/>
                <w:noProof/>
              </w:rPr>
              <w:t>2</w:t>
            </w:r>
            <w:r>
              <w:rPr>
                <w:rFonts w:eastAsiaTheme="minorEastAsia" w:cstheme="minorBidi"/>
                <w:b w:val="0"/>
                <w:bCs w:val="0"/>
                <w:i w:val="0"/>
                <w:iCs w:val="0"/>
                <w:noProof/>
                <w:kern w:val="2"/>
                <w:lang w:val="fr-FR"/>
                <w14:ligatures w14:val="standardContextual"/>
              </w:rPr>
              <w:tab/>
            </w:r>
            <w:r w:rsidRPr="00B16E26">
              <w:rPr>
                <w:rStyle w:val="Lienhypertexte"/>
                <w:noProof/>
              </w:rPr>
              <w:t>Approach used for calculation of the environmental footprint by server according to the life cycle stage</w:t>
            </w:r>
            <w:r>
              <w:rPr>
                <w:noProof/>
                <w:webHidden/>
              </w:rPr>
              <w:tab/>
            </w:r>
            <w:r>
              <w:rPr>
                <w:noProof/>
                <w:webHidden/>
              </w:rPr>
              <w:fldChar w:fldCharType="begin"/>
            </w:r>
            <w:r>
              <w:rPr>
                <w:noProof/>
                <w:webHidden/>
              </w:rPr>
              <w:instrText xml:space="preserve"> PAGEREF _Toc202948806 \h </w:instrText>
            </w:r>
            <w:r>
              <w:rPr>
                <w:noProof/>
                <w:webHidden/>
              </w:rPr>
            </w:r>
            <w:r>
              <w:rPr>
                <w:noProof/>
                <w:webHidden/>
              </w:rPr>
              <w:fldChar w:fldCharType="separate"/>
            </w:r>
            <w:r>
              <w:rPr>
                <w:noProof/>
                <w:webHidden/>
              </w:rPr>
              <w:t>5</w:t>
            </w:r>
            <w:r>
              <w:rPr>
                <w:noProof/>
                <w:webHidden/>
              </w:rPr>
              <w:fldChar w:fldCharType="end"/>
            </w:r>
          </w:hyperlink>
        </w:p>
        <w:p w14:paraId="054BB201" w14:textId="492630BB"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07" w:history="1">
            <w:r w:rsidRPr="00B16E26">
              <w:rPr>
                <w:rStyle w:val="Lienhypertexte"/>
                <w:noProof/>
              </w:rPr>
              <w:t>2.1</w:t>
            </w:r>
            <w:r>
              <w:rPr>
                <w:rFonts w:eastAsiaTheme="minorEastAsia" w:cstheme="minorBidi"/>
                <w:b w:val="0"/>
                <w:bCs w:val="0"/>
                <w:noProof/>
                <w:kern w:val="2"/>
                <w:sz w:val="24"/>
                <w:szCs w:val="24"/>
                <w:lang w:val="fr-FR"/>
                <w14:ligatures w14:val="standardContextual"/>
              </w:rPr>
              <w:tab/>
            </w:r>
            <w:r w:rsidRPr="00B16E26">
              <w:rPr>
                <w:rStyle w:val="Lienhypertexte"/>
                <w:noProof/>
              </w:rPr>
              <w:t>Manufacturing phase</w:t>
            </w:r>
            <w:r>
              <w:rPr>
                <w:noProof/>
                <w:webHidden/>
              </w:rPr>
              <w:tab/>
            </w:r>
            <w:r>
              <w:rPr>
                <w:noProof/>
                <w:webHidden/>
              </w:rPr>
              <w:fldChar w:fldCharType="begin"/>
            </w:r>
            <w:r>
              <w:rPr>
                <w:noProof/>
                <w:webHidden/>
              </w:rPr>
              <w:instrText xml:space="preserve"> PAGEREF _Toc202948807 \h </w:instrText>
            </w:r>
            <w:r>
              <w:rPr>
                <w:noProof/>
                <w:webHidden/>
              </w:rPr>
            </w:r>
            <w:r>
              <w:rPr>
                <w:noProof/>
                <w:webHidden/>
              </w:rPr>
              <w:fldChar w:fldCharType="separate"/>
            </w:r>
            <w:r>
              <w:rPr>
                <w:noProof/>
                <w:webHidden/>
              </w:rPr>
              <w:t>5</w:t>
            </w:r>
            <w:r>
              <w:rPr>
                <w:noProof/>
                <w:webHidden/>
              </w:rPr>
              <w:fldChar w:fldCharType="end"/>
            </w:r>
          </w:hyperlink>
        </w:p>
        <w:p w14:paraId="43F87B99" w14:textId="7B104A85"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08" w:history="1">
            <w:r w:rsidRPr="00B16E26">
              <w:rPr>
                <w:rStyle w:val="Lienhypertexte"/>
                <w:noProof/>
              </w:rPr>
              <w:t>2.1.1</w:t>
            </w:r>
            <w:r>
              <w:rPr>
                <w:rFonts w:eastAsiaTheme="minorEastAsia" w:cstheme="minorBidi"/>
                <w:noProof/>
                <w:kern w:val="2"/>
                <w:sz w:val="24"/>
                <w:szCs w:val="24"/>
                <w:lang w:val="fr-FR"/>
                <w14:ligatures w14:val="standardContextual"/>
              </w:rPr>
              <w:tab/>
            </w:r>
            <w:r w:rsidRPr="00B16E26">
              <w:rPr>
                <w:rStyle w:val="Lienhypertexte"/>
                <w:noProof/>
              </w:rPr>
              <w:t>Calculating a server’s environmental footprint</w:t>
            </w:r>
            <w:r>
              <w:rPr>
                <w:noProof/>
                <w:webHidden/>
              </w:rPr>
              <w:tab/>
            </w:r>
            <w:r>
              <w:rPr>
                <w:noProof/>
                <w:webHidden/>
              </w:rPr>
              <w:fldChar w:fldCharType="begin"/>
            </w:r>
            <w:r>
              <w:rPr>
                <w:noProof/>
                <w:webHidden/>
              </w:rPr>
              <w:instrText xml:space="preserve"> PAGEREF _Toc202948808 \h </w:instrText>
            </w:r>
            <w:r>
              <w:rPr>
                <w:noProof/>
                <w:webHidden/>
              </w:rPr>
            </w:r>
            <w:r>
              <w:rPr>
                <w:noProof/>
                <w:webHidden/>
              </w:rPr>
              <w:fldChar w:fldCharType="separate"/>
            </w:r>
            <w:r>
              <w:rPr>
                <w:noProof/>
                <w:webHidden/>
              </w:rPr>
              <w:t>5</w:t>
            </w:r>
            <w:r>
              <w:rPr>
                <w:noProof/>
                <w:webHidden/>
              </w:rPr>
              <w:fldChar w:fldCharType="end"/>
            </w:r>
          </w:hyperlink>
        </w:p>
        <w:p w14:paraId="2EAA6F01" w14:textId="357E3400"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09" w:history="1">
            <w:r w:rsidRPr="00B16E26">
              <w:rPr>
                <w:rStyle w:val="Lienhypertexte"/>
                <w:noProof/>
              </w:rPr>
              <w:t>2.1.2</w:t>
            </w:r>
            <w:r>
              <w:rPr>
                <w:rFonts w:eastAsiaTheme="minorEastAsia" w:cstheme="minorBidi"/>
                <w:noProof/>
                <w:kern w:val="2"/>
                <w:sz w:val="24"/>
                <w:szCs w:val="24"/>
                <w:lang w:val="fr-FR"/>
                <w14:ligatures w14:val="standardContextual"/>
              </w:rPr>
              <w:tab/>
            </w:r>
            <w:r w:rsidRPr="00B16E26">
              <w:rPr>
                <w:rStyle w:val="Lienhypertexte"/>
                <w:noProof/>
              </w:rPr>
              <w:t>Focus on the environmental footprint of GPUs</w:t>
            </w:r>
            <w:r>
              <w:rPr>
                <w:noProof/>
                <w:webHidden/>
              </w:rPr>
              <w:tab/>
            </w:r>
            <w:r>
              <w:rPr>
                <w:noProof/>
                <w:webHidden/>
              </w:rPr>
              <w:fldChar w:fldCharType="begin"/>
            </w:r>
            <w:r>
              <w:rPr>
                <w:noProof/>
                <w:webHidden/>
              </w:rPr>
              <w:instrText xml:space="preserve"> PAGEREF _Toc202948809 \h </w:instrText>
            </w:r>
            <w:r>
              <w:rPr>
                <w:noProof/>
                <w:webHidden/>
              </w:rPr>
            </w:r>
            <w:r>
              <w:rPr>
                <w:noProof/>
                <w:webHidden/>
              </w:rPr>
              <w:fldChar w:fldCharType="separate"/>
            </w:r>
            <w:r>
              <w:rPr>
                <w:noProof/>
                <w:webHidden/>
              </w:rPr>
              <w:t>6</w:t>
            </w:r>
            <w:r>
              <w:rPr>
                <w:noProof/>
                <w:webHidden/>
              </w:rPr>
              <w:fldChar w:fldCharType="end"/>
            </w:r>
          </w:hyperlink>
        </w:p>
        <w:p w14:paraId="5B714BB5" w14:textId="4B9D7FE9"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10" w:history="1">
            <w:r w:rsidRPr="00B16E26">
              <w:rPr>
                <w:rStyle w:val="Lienhypertexte"/>
                <w:noProof/>
              </w:rPr>
              <w:t>2.1.3</w:t>
            </w:r>
            <w:r>
              <w:rPr>
                <w:rFonts w:eastAsiaTheme="minorEastAsia" w:cstheme="minorBidi"/>
                <w:noProof/>
                <w:kern w:val="2"/>
                <w:sz w:val="24"/>
                <w:szCs w:val="24"/>
                <w:lang w:val="fr-FR"/>
                <w14:ligatures w14:val="standardContextual"/>
              </w:rPr>
              <w:tab/>
            </w:r>
            <w:r w:rsidRPr="00B16E26">
              <w:rPr>
                <w:rStyle w:val="Lienhypertexte"/>
                <w:noProof/>
              </w:rPr>
              <w:t>Component refurbishment focus</w:t>
            </w:r>
            <w:r>
              <w:rPr>
                <w:noProof/>
                <w:webHidden/>
              </w:rPr>
              <w:tab/>
            </w:r>
            <w:r>
              <w:rPr>
                <w:noProof/>
                <w:webHidden/>
              </w:rPr>
              <w:fldChar w:fldCharType="begin"/>
            </w:r>
            <w:r>
              <w:rPr>
                <w:noProof/>
                <w:webHidden/>
              </w:rPr>
              <w:instrText xml:space="preserve"> PAGEREF _Toc202948810 \h </w:instrText>
            </w:r>
            <w:r>
              <w:rPr>
                <w:noProof/>
                <w:webHidden/>
              </w:rPr>
            </w:r>
            <w:r>
              <w:rPr>
                <w:noProof/>
                <w:webHidden/>
              </w:rPr>
              <w:fldChar w:fldCharType="separate"/>
            </w:r>
            <w:r>
              <w:rPr>
                <w:noProof/>
                <w:webHidden/>
              </w:rPr>
              <w:t>7</w:t>
            </w:r>
            <w:r>
              <w:rPr>
                <w:noProof/>
                <w:webHidden/>
              </w:rPr>
              <w:fldChar w:fldCharType="end"/>
            </w:r>
          </w:hyperlink>
        </w:p>
        <w:p w14:paraId="2472507F" w14:textId="7BBD9208"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11" w:history="1">
            <w:r w:rsidRPr="00B16E26">
              <w:rPr>
                <w:rStyle w:val="Lienhypertexte"/>
                <w:noProof/>
              </w:rPr>
              <w:t>2.2</w:t>
            </w:r>
            <w:r>
              <w:rPr>
                <w:rFonts w:eastAsiaTheme="minorEastAsia" w:cstheme="minorBidi"/>
                <w:b w:val="0"/>
                <w:bCs w:val="0"/>
                <w:noProof/>
                <w:kern w:val="2"/>
                <w:sz w:val="24"/>
                <w:szCs w:val="24"/>
                <w:lang w:val="fr-FR"/>
                <w14:ligatures w14:val="standardContextual"/>
              </w:rPr>
              <w:tab/>
            </w:r>
            <w:r w:rsidRPr="00B16E26">
              <w:rPr>
                <w:rStyle w:val="Lienhypertexte"/>
                <w:noProof/>
              </w:rPr>
              <w:t>Usage phase</w:t>
            </w:r>
            <w:r>
              <w:rPr>
                <w:noProof/>
                <w:webHidden/>
              </w:rPr>
              <w:tab/>
            </w:r>
            <w:r>
              <w:rPr>
                <w:noProof/>
                <w:webHidden/>
              </w:rPr>
              <w:fldChar w:fldCharType="begin"/>
            </w:r>
            <w:r>
              <w:rPr>
                <w:noProof/>
                <w:webHidden/>
              </w:rPr>
              <w:instrText xml:space="preserve"> PAGEREF _Toc202948811 \h </w:instrText>
            </w:r>
            <w:r>
              <w:rPr>
                <w:noProof/>
                <w:webHidden/>
              </w:rPr>
            </w:r>
            <w:r>
              <w:rPr>
                <w:noProof/>
                <w:webHidden/>
              </w:rPr>
              <w:fldChar w:fldCharType="separate"/>
            </w:r>
            <w:r>
              <w:rPr>
                <w:noProof/>
                <w:webHidden/>
              </w:rPr>
              <w:t>8</w:t>
            </w:r>
            <w:r>
              <w:rPr>
                <w:noProof/>
                <w:webHidden/>
              </w:rPr>
              <w:fldChar w:fldCharType="end"/>
            </w:r>
          </w:hyperlink>
        </w:p>
        <w:p w14:paraId="5086E7A3" w14:textId="138A42A6"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12" w:history="1">
            <w:r w:rsidRPr="00B16E26">
              <w:rPr>
                <w:rStyle w:val="Lienhypertexte"/>
                <w:noProof/>
              </w:rPr>
              <w:t>2.3</w:t>
            </w:r>
            <w:r>
              <w:rPr>
                <w:rFonts w:eastAsiaTheme="minorEastAsia" w:cstheme="minorBidi"/>
                <w:b w:val="0"/>
                <w:bCs w:val="0"/>
                <w:noProof/>
                <w:kern w:val="2"/>
                <w:sz w:val="24"/>
                <w:szCs w:val="24"/>
                <w:lang w:val="fr-FR"/>
                <w14:ligatures w14:val="standardContextual"/>
              </w:rPr>
              <w:tab/>
            </w:r>
            <w:r w:rsidRPr="00B16E26">
              <w:rPr>
                <w:rStyle w:val="Lienhypertexte"/>
                <w:noProof/>
              </w:rPr>
              <w:t>Operations: miscellaneous issue aggregate</w:t>
            </w:r>
            <w:r>
              <w:rPr>
                <w:noProof/>
                <w:webHidden/>
              </w:rPr>
              <w:tab/>
            </w:r>
            <w:r>
              <w:rPr>
                <w:noProof/>
                <w:webHidden/>
              </w:rPr>
              <w:fldChar w:fldCharType="begin"/>
            </w:r>
            <w:r>
              <w:rPr>
                <w:noProof/>
                <w:webHidden/>
              </w:rPr>
              <w:instrText xml:space="preserve"> PAGEREF _Toc202948812 \h </w:instrText>
            </w:r>
            <w:r>
              <w:rPr>
                <w:noProof/>
                <w:webHidden/>
              </w:rPr>
            </w:r>
            <w:r>
              <w:rPr>
                <w:noProof/>
                <w:webHidden/>
              </w:rPr>
              <w:fldChar w:fldCharType="separate"/>
            </w:r>
            <w:r>
              <w:rPr>
                <w:noProof/>
                <w:webHidden/>
              </w:rPr>
              <w:t>11</w:t>
            </w:r>
            <w:r>
              <w:rPr>
                <w:noProof/>
                <w:webHidden/>
              </w:rPr>
              <w:fldChar w:fldCharType="end"/>
            </w:r>
          </w:hyperlink>
        </w:p>
        <w:p w14:paraId="62712756" w14:textId="352A14F9"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13" w:history="1">
            <w:r w:rsidRPr="00B16E26">
              <w:rPr>
                <w:rStyle w:val="Lienhypertexte"/>
                <w:noProof/>
              </w:rPr>
              <w:t>2.3.1</w:t>
            </w:r>
            <w:r>
              <w:rPr>
                <w:rFonts w:eastAsiaTheme="minorEastAsia" w:cstheme="minorBidi"/>
                <w:noProof/>
                <w:kern w:val="2"/>
                <w:sz w:val="24"/>
                <w:szCs w:val="24"/>
                <w:lang w:val="fr-FR"/>
                <w14:ligatures w14:val="standardContextual"/>
              </w:rPr>
              <w:tab/>
            </w:r>
            <w:r w:rsidRPr="00B16E26">
              <w:rPr>
                <w:rStyle w:val="Lienhypertexte"/>
                <w:noProof/>
              </w:rPr>
              <w:t>Emissions from the Carbon Balance</w:t>
            </w:r>
            <w:r>
              <w:rPr>
                <w:noProof/>
                <w:webHidden/>
              </w:rPr>
              <w:tab/>
            </w:r>
            <w:r>
              <w:rPr>
                <w:noProof/>
                <w:webHidden/>
              </w:rPr>
              <w:fldChar w:fldCharType="begin"/>
            </w:r>
            <w:r>
              <w:rPr>
                <w:noProof/>
                <w:webHidden/>
              </w:rPr>
              <w:instrText xml:space="preserve"> PAGEREF _Toc202948813 \h </w:instrText>
            </w:r>
            <w:r>
              <w:rPr>
                <w:noProof/>
                <w:webHidden/>
              </w:rPr>
            </w:r>
            <w:r>
              <w:rPr>
                <w:noProof/>
                <w:webHidden/>
              </w:rPr>
              <w:fldChar w:fldCharType="separate"/>
            </w:r>
            <w:r>
              <w:rPr>
                <w:noProof/>
                <w:webHidden/>
              </w:rPr>
              <w:t>11</w:t>
            </w:r>
            <w:r>
              <w:rPr>
                <w:noProof/>
                <w:webHidden/>
              </w:rPr>
              <w:fldChar w:fldCharType="end"/>
            </w:r>
          </w:hyperlink>
        </w:p>
        <w:p w14:paraId="29FF0741" w14:textId="29BA0704"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14" w:history="1">
            <w:r w:rsidRPr="00B16E26">
              <w:rPr>
                <w:rStyle w:val="Lienhypertexte"/>
                <w:noProof/>
              </w:rPr>
              <w:t>2.3.2</w:t>
            </w:r>
            <w:r>
              <w:rPr>
                <w:rFonts w:eastAsiaTheme="minorEastAsia" w:cstheme="minorBidi"/>
                <w:noProof/>
                <w:kern w:val="2"/>
                <w:sz w:val="24"/>
                <w:szCs w:val="24"/>
                <w:lang w:val="fr-FR"/>
                <w14:ligatures w14:val="standardContextual"/>
              </w:rPr>
              <w:tab/>
            </w:r>
            <w:r w:rsidRPr="00B16E26">
              <w:rPr>
                <w:rStyle w:val="Lienhypertexte"/>
                <w:noProof/>
              </w:rPr>
              <w:t>OVHcloud internal IT usage emissions</w:t>
            </w:r>
            <w:r>
              <w:rPr>
                <w:noProof/>
                <w:webHidden/>
              </w:rPr>
              <w:tab/>
            </w:r>
            <w:r>
              <w:rPr>
                <w:noProof/>
                <w:webHidden/>
              </w:rPr>
              <w:fldChar w:fldCharType="begin"/>
            </w:r>
            <w:r>
              <w:rPr>
                <w:noProof/>
                <w:webHidden/>
              </w:rPr>
              <w:instrText xml:space="preserve"> PAGEREF _Toc202948814 \h </w:instrText>
            </w:r>
            <w:r>
              <w:rPr>
                <w:noProof/>
                <w:webHidden/>
              </w:rPr>
            </w:r>
            <w:r>
              <w:rPr>
                <w:noProof/>
                <w:webHidden/>
              </w:rPr>
              <w:fldChar w:fldCharType="separate"/>
            </w:r>
            <w:r>
              <w:rPr>
                <w:noProof/>
                <w:webHidden/>
              </w:rPr>
              <w:t>12</w:t>
            </w:r>
            <w:r>
              <w:rPr>
                <w:noProof/>
                <w:webHidden/>
              </w:rPr>
              <w:fldChar w:fldCharType="end"/>
            </w:r>
          </w:hyperlink>
        </w:p>
        <w:p w14:paraId="37C60981" w14:textId="3E1419C7" w:rsidR="003D773D" w:rsidRDefault="003D773D">
          <w:pPr>
            <w:pStyle w:val="TM1"/>
            <w:tabs>
              <w:tab w:val="left" w:pos="480"/>
            </w:tabs>
            <w:rPr>
              <w:rFonts w:eastAsiaTheme="minorEastAsia" w:cstheme="minorBidi"/>
              <w:b w:val="0"/>
              <w:bCs w:val="0"/>
              <w:i w:val="0"/>
              <w:iCs w:val="0"/>
              <w:noProof/>
              <w:kern w:val="2"/>
              <w:lang w:val="fr-FR"/>
              <w14:ligatures w14:val="standardContextual"/>
            </w:rPr>
          </w:pPr>
          <w:hyperlink w:anchor="_Toc202948815" w:history="1">
            <w:r w:rsidRPr="00B16E26">
              <w:rPr>
                <w:rStyle w:val="Lienhypertexte"/>
                <w:noProof/>
              </w:rPr>
              <w:t>3</w:t>
            </w:r>
            <w:r>
              <w:rPr>
                <w:rFonts w:eastAsiaTheme="minorEastAsia" w:cstheme="minorBidi"/>
                <w:b w:val="0"/>
                <w:bCs w:val="0"/>
                <w:i w:val="0"/>
                <w:iCs w:val="0"/>
                <w:noProof/>
                <w:kern w:val="2"/>
                <w:lang w:val="fr-FR"/>
                <w14:ligatures w14:val="standardContextual"/>
              </w:rPr>
              <w:tab/>
            </w:r>
            <w:r w:rsidRPr="00B16E26">
              <w:rPr>
                <w:rStyle w:val="Lienhypertexte"/>
                <w:noProof/>
              </w:rPr>
              <w:t>Method for allocating environmental footprint</w:t>
            </w:r>
            <w:r>
              <w:rPr>
                <w:noProof/>
                <w:webHidden/>
              </w:rPr>
              <w:tab/>
            </w:r>
            <w:r>
              <w:rPr>
                <w:noProof/>
                <w:webHidden/>
              </w:rPr>
              <w:fldChar w:fldCharType="begin"/>
            </w:r>
            <w:r>
              <w:rPr>
                <w:noProof/>
                <w:webHidden/>
              </w:rPr>
              <w:instrText xml:space="preserve"> PAGEREF _Toc202948815 \h </w:instrText>
            </w:r>
            <w:r>
              <w:rPr>
                <w:noProof/>
                <w:webHidden/>
              </w:rPr>
            </w:r>
            <w:r>
              <w:rPr>
                <w:noProof/>
                <w:webHidden/>
              </w:rPr>
              <w:fldChar w:fldCharType="separate"/>
            </w:r>
            <w:r>
              <w:rPr>
                <w:noProof/>
                <w:webHidden/>
              </w:rPr>
              <w:t>12</w:t>
            </w:r>
            <w:r>
              <w:rPr>
                <w:noProof/>
                <w:webHidden/>
              </w:rPr>
              <w:fldChar w:fldCharType="end"/>
            </w:r>
          </w:hyperlink>
        </w:p>
        <w:p w14:paraId="436758E1" w14:textId="080F8148"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16" w:history="1">
            <w:r w:rsidRPr="00B16E26">
              <w:rPr>
                <w:rStyle w:val="Lienhypertexte"/>
                <w:noProof/>
              </w:rPr>
              <w:t>3.1</w:t>
            </w:r>
            <w:r>
              <w:rPr>
                <w:rFonts w:eastAsiaTheme="minorEastAsia" w:cstheme="minorBidi"/>
                <w:b w:val="0"/>
                <w:bCs w:val="0"/>
                <w:noProof/>
                <w:kern w:val="2"/>
                <w:sz w:val="24"/>
                <w:szCs w:val="24"/>
                <w:lang w:val="fr-FR"/>
                <w14:ligatures w14:val="standardContextual"/>
              </w:rPr>
              <w:tab/>
            </w:r>
            <w:r w:rsidRPr="00B16E26">
              <w:rPr>
                <w:rStyle w:val="Lienhypertexte"/>
                <w:noProof/>
              </w:rPr>
              <w:t>Allocation method for dedicated products</w:t>
            </w:r>
            <w:r>
              <w:rPr>
                <w:noProof/>
                <w:webHidden/>
              </w:rPr>
              <w:tab/>
            </w:r>
            <w:r>
              <w:rPr>
                <w:noProof/>
                <w:webHidden/>
              </w:rPr>
              <w:fldChar w:fldCharType="begin"/>
            </w:r>
            <w:r>
              <w:rPr>
                <w:noProof/>
                <w:webHidden/>
              </w:rPr>
              <w:instrText xml:space="preserve"> PAGEREF _Toc202948816 \h </w:instrText>
            </w:r>
            <w:r>
              <w:rPr>
                <w:noProof/>
                <w:webHidden/>
              </w:rPr>
            </w:r>
            <w:r>
              <w:rPr>
                <w:noProof/>
                <w:webHidden/>
              </w:rPr>
              <w:fldChar w:fldCharType="separate"/>
            </w:r>
            <w:r>
              <w:rPr>
                <w:noProof/>
                <w:webHidden/>
              </w:rPr>
              <w:t>13</w:t>
            </w:r>
            <w:r>
              <w:rPr>
                <w:noProof/>
                <w:webHidden/>
              </w:rPr>
              <w:fldChar w:fldCharType="end"/>
            </w:r>
          </w:hyperlink>
        </w:p>
        <w:p w14:paraId="6EC9805C" w14:textId="7376F81A"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17" w:history="1">
            <w:r w:rsidRPr="00B16E26">
              <w:rPr>
                <w:rStyle w:val="Lienhypertexte"/>
                <w:noProof/>
              </w:rPr>
              <w:t>3.2</w:t>
            </w:r>
            <w:r>
              <w:rPr>
                <w:rFonts w:eastAsiaTheme="minorEastAsia" w:cstheme="minorBidi"/>
                <w:b w:val="0"/>
                <w:bCs w:val="0"/>
                <w:noProof/>
                <w:kern w:val="2"/>
                <w:sz w:val="24"/>
                <w:szCs w:val="24"/>
                <w:lang w:val="fr-FR"/>
                <w14:ligatures w14:val="standardContextual"/>
              </w:rPr>
              <w:tab/>
            </w:r>
            <w:r w:rsidRPr="00B16E26">
              <w:rPr>
                <w:rStyle w:val="Lienhypertexte"/>
                <w:noProof/>
              </w:rPr>
              <w:t>Allocation method for mutualized products</w:t>
            </w:r>
            <w:r>
              <w:rPr>
                <w:noProof/>
                <w:webHidden/>
              </w:rPr>
              <w:tab/>
            </w:r>
            <w:r>
              <w:rPr>
                <w:noProof/>
                <w:webHidden/>
              </w:rPr>
              <w:fldChar w:fldCharType="begin"/>
            </w:r>
            <w:r>
              <w:rPr>
                <w:noProof/>
                <w:webHidden/>
              </w:rPr>
              <w:instrText xml:space="preserve"> PAGEREF _Toc202948817 \h </w:instrText>
            </w:r>
            <w:r>
              <w:rPr>
                <w:noProof/>
                <w:webHidden/>
              </w:rPr>
            </w:r>
            <w:r>
              <w:rPr>
                <w:noProof/>
                <w:webHidden/>
              </w:rPr>
              <w:fldChar w:fldCharType="separate"/>
            </w:r>
            <w:r>
              <w:rPr>
                <w:noProof/>
                <w:webHidden/>
              </w:rPr>
              <w:t>13</w:t>
            </w:r>
            <w:r>
              <w:rPr>
                <w:noProof/>
                <w:webHidden/>
              </w:rPr>
              <w:fldChar w:fldCharType="end"/>
            </w:r>
          </w:hyperlink>
        </w:p>
        <w:p w14:paraId="434E3458" w14:textId="7391AB79"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18" w:history="1">
            <w:r w:rsidRPr="00B16E26">
              <w:rPr>
                <w:rStyle w:val="Lienhypertexte"/>
                <w:noProof/>
              </w:rPr>
              <w:t>3.2.1</w:t>
            </w:r>
            <w:r>
              <w:rPr>
                <w:rFonts w:eastAsiaTheme="minorEastAsia" w:cstheme="minorBidi"/>
                <w:noProof/>
                <w:kern w:val="2"/>
                <w:sz w:val="24"/>
                <w:szCs w:val="24"/>
                <w:lang w:val="fr-FR"/>
                <w14:ligatures w14:val="standardContextual"/>
              </w:rPr>
              <w:tab/>
            </w:r>
            <w:r w:rsidRPr="00B16E26">
              <w:rPr>
                <w:rStyle w:val="Lienhypertexte"/>
                <w:noProof/>
              </w:rPr>
              <w:t>Specific methodological choices for allocating the footprint of mutualized products</w:t>
            </w:r>
            <w:r>
              <w:rPr>
                <w:noProof/>
                <w:webHidden/>
              </w:rPr>
              <w:tab/>
            </w:r>
            <w:r>
              <w:rPr>
                <w:noProof/>
                <w:webHidden/>
              </w:rPr>
              <w:fldChar w:fldCharType="begin"/>
            </w:r>
            <w:r>
              <w:rPr>
                <w:noProof/>
                <w:webHidden/>
              </w:rPr>
              <w:instrText xml:space="preserve"> PAGEREF _Toc202948818 \h </w:instrText>
            </w:r>
            <w:r>
              <w:rPr>
                <w:noProof/>
                <w:webHidden/>
              </w:rPr>
            </w:r>
            <w:r>
              <w:rPr>
                <w:noProof/>
                <w:webHidden/>
              </w:rPr>
              <w:fldChar w:fldCharType="separate"/>
            </w:r>
            <w:r>
              <w:rPr>
                <w:noProof/>
                <w:webHidden/>
              </w:rPr>
              <w:t>13</w:t>
            </w:r>
            <w:r>
              <w:rPr>
                <w:noProof/>
                <w:webHidden/>
              </w:rPr>
              <w:fldChar w:fldCharType="end"/>
            </w:r>
          </w:hyperlink>
        </w:p>
        <w:p w14:paraId="2A3AF59A" w14:textId="6DDC63CD"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19" w:history="1">
            <w:r w:rsidRPr="00B16E26">
              <w:rPr>
                <w:rStyle w:val="Lienhypertexte"/>
                <w:noProof/>
              </w:rPr>
              <w:t>3.2.2</w:t>
            </w:r>
            <w:r>
              <w:rPr>
                <w:rFonts w:eastAsiaTheme="minorEastAsia" w:cstheme="minorBidi"/>
                <w:noProof/>
                <w:kern w:val="2"/>
                <w:sz w:val="24"/>
                <w:szCs w:val="24"/>
                <w:lang w:val="fr-FR"/>
                <w14:ligatures w14:val="standardContextual"/>
              </w:rPr>
              <w:tab/>
            </w:r>
            <w:r w:rsidRPr="00B16E26">
              <w:rPr>
                <w:rStyle w:val="Lienhypertexte"/>
                <w:noProof/>
              </w:rPr>
              <w:t>Perimeter Public Cloud Computing</w:t>
            </w:r>
            <w:r>
              <w:rPr>
                <w:noProof/>
                <w:webHidden/>
              </w:rPr>
              <w:tab/>
            </w:r>
            <w:r>
              <w:rPr>
                <w:noProof/>
                <w:webHidden/>
              </w:rPr>
              <w:fldChar w:fldCharType="begin"/>
            </w:r>
            <w:r>
              <w:rPr>
                <w:noProof/>
                <w:webHidden/>
              </w:rPr>
              <w:instrText xml:space="preserve"> PAGEREF _Toc202948819 \h </w:instrText>
            </w:r>
            <w:r>
              <w:rPr>
                <w:noProof/>
                <w:webHidden/>
              </w:rPr>
            </w:r>
            <w:r>
              <w:rPr>
                <w:noProof/>
                <w:webHidden/>
              </w:rPr>
              <w:fldChar w:fldCharType="separate"/>
            </w:r>
            <w:r>
              <w:rPr>
                <w:noProof/>
                <w:webHidden/>
              </w:rPr>
              <w:t>15</w:t>
            </w:r>
            <w:r>
              <w:rPr>
                <w:noProof/>
                <w:webHidden/>
              </w:rPr>
              <w:fldChar w:fldCharType="end"/>
            </w:r>
          </w:hyperlink>
        </w:p>
        <w:p w14:paraId="32ECE26C" w14:textId="4BCCADC5"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20" w:history="1">
            <w:r w:rsidRPr="00B16E26">
              <w:rPr>
                <w:rStyle w:val="Lienhypertexte"/>
                <w:noProof/>
              </w:rPr>
              <w:t>3.2.3</w:t>
            </w:r>
            <w:r>
              <w:rPr>
                <w:rFonts w:eastAsiaTheme="minorEastAsia" w:cstheme="minorBidi"/>
                <w:noProof/>
                <w:kern w:val="2"/>
                <w:sz w:val="24"/>
                <w:szCs w:val="24"/>
                <w:lang w:val="fr-FR"/>
                <w14:ligatures w14:val="standardContextual"/>
              </w:rPr>
              <w:tab/>
            </w:r>
            <w:r w:rsidRPr="00B16E26">
              <w:rPr>
                <w:rStyle w:val="Lienhypertexte"/>
                <w:noProof/>
              </w:rPr>
              <w:t>Public Cloud Storage Scope</w:t>
            </w:r>
            <w:r>
              <w:rPr>
                <w:noProof/>
                <w:webHidden/>
              </w:rPr>
              <w:tab/>
            </w:r>
            <w:r>
              <w:rPr>
                <w:noProof/>
                <w:webHidden/>
              </w:rPr>
              <w:fldChar w:fldCharType="begin"/>
            </w:r>
            <w:r>
              <w:rPr>
                <w:noProof/>
                <w:webHidden/>
              </w:rPr>
              <w:instrText xml:space="preserve"> PAGEREF _Toc202948820 \h </w:instrText>
            </w:r>
            <w:r>
              <w:rPr>
                <w:noProof/>
                <w:webHidden/>
              </w:rPr>
            </w:r>
            <w:r>
              <w:rPr>
                <w:noProof/>
                <w:webHidden/>
              </w:rPr>
              <w:fldChar w:fldCharType="separate"/>
            </w:r>
            <w:r>
              <w:rPr>
                <w:noProof/>
                <w:webHidden/>
              </w:rPr>
              <w:t>16</w:t>
            </w:r>
            <w:r>
              <w:rPr>
                <w:noProof/>
                <w:webHidden/>
              </w:rPr>
              <w:fldChar w:fldCharType="end"/>
            </w:r>
          </w:hyperlink>
        </w:p>
        <w:p w14:paraId="44B71C08" w14:textId="754CE7DB" w:rsidR="003D773D" w:rsidRDefault="003D773D">
          <w:pPr>
            <w:pStyle w:val="TM2"/>
            <w:tabs>
              <w:tab w:val="left" w:pos="960"/>
              <w:tab w:val="right" w:leader="dot" w:pos="9628"/>
            </w:tabs>
            <w:rPr>
              <w:rFonts w:eastAsiaTheme="minorEastAsia" w:cstheme="minorBidi"/>
              <w:b w:val="0"/>
              <w:bCs w:val="0"/>
              <w:noProof/>
              <w:kern w:val="2"/>
              <w:sz w:val="24"/>
              <w:szCs w:val="24"/>
              <w:lang w:val="fr-FR"/>
              <w14:ligatures w14:val="standardContextual"/>
            </w:rPr>
          </w:pPr>
          <w:hyperlink w:anchor="_Toc202948821" w:history="1">
            <w:r w:rsidRPr="00B16E26">
              <w:rPr>
                <w:rStyle w:val="Lienhypertexte"/>
                <w:noProof/>
              </w:rPr>
              <w:t>3.3</w:t>
            </w:r>
            <w:r>
              <w:rPr>
                <w:rFonts w:eastAsiaTheme="minorEastAsia" w:cstheme="minorBidi"/>
                <w:b w:val="0"/>
                <w:bCs w:val="0"/>
                <w:noProof/>
                <w:kern w:val="2"/>
                <w:sz w:val="24"/>
                <w:szCs w:val="24"/>
                <w:lang w:val="fr-FR"/>
                <w14:ligatures w14:val="standardContextual"/>
              </w:rPr>
              <w:tab/>
            </w:r>
            <w:r w:rsidRPr="00B16E26">
              <w:rPr>
                <w:rStyle w:val="Lienhypertexte"/>
                <w:noProof/>
              </w:rPr>
              <w:t>Allocation to customers and report</w:t>
            </w:r>
            <w:r>
              <w:rPr>
                <w:noProof/>
                <w:webHidden/>
              </w:rPr>
              <w:tab/>
            </w:r>
            <w:r>
              <w:rPr>
                <w:noProof/>
                <w:webHidden/>
              </w:rPr>
              <w:fldChar w:fldCharType="begin"/>
            </w:r>
            <w:r>
              <w:rPr>
                <w:noProof/>
                <w:webHidden/>
              </w:rPr>
              <w:instrText xml:space="preserve"> PAGEREF _Toc202948821 \h </w:instrText>
            </w:r>
            <w:r>
              <w:rPr>
                <w:noProof/>
                <w:webHidden/>
              </w:rPr>
            </w:r>
            <w:r>
              <w:rPr>
                <w:noProof/>
                <w:webHidden/>
              </w:rPr>
              <w:fldChar w:fldCharType="separate"/>
            </w:r>
            <w:r>
              <w:rPr>
                <w:noProof/>
                <w:webHidden/>
              </w:rPr>
              <w:t>17</w:t>
            </w:r>
            <w:r>
              <w:rPr>
                <w:noProof/>
                <w:webHidden/>
              </w:rPr>
              <w:fldChar w:fldCharType="end"/>
            </w:r>
          </w:hyperlink>
        </w:p>
        <w:p w14:paraId="3FBB2DBB" w14:textId="00963875"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22" w:history="1">
            <w:r w:rsidRPr="00B16E26">
              <w:rPr>
                <w:rStyle w:val="Lienhypertexte"/>
                <w:noProof/>
              </w:rPr>
              <w:t>3.3.1</w:t>
            </w:r>
            <w:r>
              <w:rPr>
                <w:rFonts w:eastAsiaTheme="minorEastAsia" w:cstheme="minorBidi"/>
                <w:noProof/>
                <w:kern w:val="2"/>
                <w:sz w:val="24"/>
                <w:szCs w:val="24"/>
                <w:lang w:val="fr-FR"/>
                <w14:ligatures w14:val="standardContextual"/>
              </w:rPr>
              <w:tab/>
            </w:r>
            <w:r w:rsidRPr="00B16E26">
              <w:rPr>
                <w:rStyle w:val="Lienhypertexte"/>
                <w:noProof/>
              </w:rPr>
              <w:t xml:space="preserve">Proportional distribution for </w:t>
            </w:r>
            <w:r w:rsidRPr="00B16E26">
              <w:rPr>
                <w:rStyle w:val="Lienhypertexte"/>
                <w:i/>
                <w:iCs/>
                <w:noProof/>
              </w:rPr>
              <w:t xml:space="preserve">Public Cloud </w:t>
            </w:r>
            <w:r w:rsidRPr="00B16E26">
              <w:rPr>
                <w:rStyle w:val="Lienhypertexte"/>
                <w:noProof/>
              </w:rPr>
              <w:t>products</w:t>
            </w:r>
            <w:r>
              <w:rPr>
                <w:noProof/>
                <w:webHidden/>
              </w:rPr>
              <w:tab/>
            </w:r>
            <w:r>
              <w:rPr>
                <w:noProof/>
                <w:webHidden/>
              </w:rPr>
              <w:fldChar w:fldCharType="begin"/>
            </w:r>
            <w:r>
              <w:rPr>
                <w:noProof/>
                <w:webHidden/>
              </w:rPr>
              <w:instrText xml:space="preserve"> PAGEREF _Toc202948822 \h </w:instrText>
            </w:r>
            <w:r>
              <w:rPr>
                <w:noProof/>
                <w:webHidden/>
              </w:rPr>
            </w:r>
            <w:r>
              <w:rPr>
                <w:noProof/>
                <w:webHidden/>
              </w:rPr>
              <w:fldChar w:fldCharType="separate"/>
            </w:r>
            <w:r>
              <w:rPr>
                <w:noProof/>
                <w:webHidden/>
              </w:rPr>
              <w:t>17</w:t>
            </w:r>
            <w:r>
              <w:rPr>
                <w:noProof/>
                <w:webHidden/>
              </w:rPr>
              <w:fldChar w:fldCharType="end"/>
            </w:r>
          </w:hyperlink>
        </w:p>
        <w:p w14:paraId="0AD63C13" w14:textId="14EC905F" w:rsidR="003D773D" w:rsidRDefault="003D773D">
          <w:pPr>
            <w:pStyle w:val="TM3"/>
            <w:tabs>
              <w:tab w:val="left" w:pos="1200"/>
              <w:tab w:val="right" w:leader="dot" w:pos="9628"/>
            </w:tabs>
            <w:rPr>
              <w:rFonts w:eastAsiaTheme="minorEastAsia" w:cstheme="minorBidi"/>
              <w:noProof/>
              <w:kern w:val="2"/>
              <w:sz w:val="24"/>
              <w:szCs w:val="24"/>
              <w:lang w:val="fr-FR"/>
              <w14:ligatures w14:val="standardContextual"/>
            </w:rPr>
          </w:pPr>
          <w:hyperlink w:anchor="_Toc202948823" w:history="1">
            <w:r w:rsidRPr="00B16E26">
              <w:rPr>
                <w:rStyle w:val="Lienhypertexte"/>
                <w:noProof/>
              </w:rPr>
              <w:t>3.3.2</w:t>
            </w:r>
            <w:r>
              <w:rPr>
                <w:rFonts w:eastAsiaTheme="minorEastAsia" w:cstheme="minorBidi"/>
                <w:noProof/>
                <w:kern w:val="2"/>
                <w:sz w:val="24"/>
                <w:szCs w:val="24"/>
                <w:lang w:val="fr-FR"/>
                <w14:ligatures w14:val="standardContextual"/>
              </w:rPr>
              <w:tab/>
            </w:r>
            <w:r w:rsidRPr="00B16E26">
              <w:rPr>
                <w:rStyle w:val="Lienhypertexte"/>
                <w:noProof/>
              </w:rPr>
              <w:t>Edit report</w:t>
            </w:r>
            <w:r>
              <w:rPr>
                <w:noProof/>
                <w:webHidden/>
              </w:rPr>
              <w:tab/>
            </w:r>
            <w:r>
              <w:rPr>
                <w:noProof/>
                <w:webHidden/>
              </w:rPr>
              <w:fldChar w:fldCharType="begin"/>
            </w:r>
            <w:r>
              <w:rPr>
                <w:noProof/>
                <w:webHidden/>
              </w:rPr>
              <w:instrText xml:space="preserve"> PAGEREF _Toc202948823 \h </w:instrText>
            </w:r>
            <w:r>
              <w:rPr>
                <w:noProof/>
                <w:webHidden/>
              </w:rPr>
            </w:r>
            <w:r>
              <w:rPr>
                <w:noProof/>
                <w:webHidden/>
              </w:rPr>
              <w:fldChar w:fldCharType="separate"/>
            </w:r>
            <w:r>
              <w:rPr>
                <w:noProof/>
                <w:webHidden/>
              </w:rPr>
              <w:t>17</w:t>
            </w:r>
            <w:r>
              <w:rPr>
                <w:noProof/>
                <w:webHidden/>
              </w:rPr>
              <w:fldChar w:fldCharType="end"/>
            </w:r>
          </w:hyperlink>
        </w:p>
        <w:p w14:paraId="57CB4FE9" w14:textId="794A3A15" w:rsidR="003D773D" w:rsidRDefault="003D773D">
          <w:pPr>
            <w:pStyle w:val="TM1"/>
            <w:rPr>
              <w:rFonts w:eastAsiaTheme="minorEastAsia" w:cstheme="minorBidi"/>
              <w:b w:val="0"/>
              <w:bCs w:val="0"/>
              <w:i w:val="0"/>
              <w:iCs w:val="0"/>
              <w:noProof/>
              <w:kern w:val="2"/>
              <w:lang w:val="fr-FR"/>
              <w14:ligatures w14:val="standardContextual"/>
            </w:rPr>
          </w:pPr>
          <w:hyperlink w:anchor="_Toc202948824" w:history="1">
            <w:r w:rsidRPr="00B16E26">
              <w:rPr>
                <w:rStyle w:val="Lienhypertexte"/>
                <w:noProof/>
              </w:rPr>
              <w:t>Glossary</w:t>
            </w:r>
            <w:r>
              <w:rPr>
                <w:noProof/>
                <w:webHidden/>
              </w:rPr>
              <w:tab/>
            </w:r>
            <w:r>
              <w:rPr>
                <w:noProof/>
                <w:webHidden/>
              </w:rPr>
              <w:fldChar w:fldCharType="begin"/>
            </w:r>
            <w:r>
              <w:rPr>
                <w:noProof/>
                <w:webHidden/>
              </w:rPr>
              <w:instrText xml:space="preserve"> PAGEREF _Toc202948824 \h </w:instrText>
            </w:r>
            <w:r>
              <w:rPr>
                <w:noProof/>
                <w:webHidden/>
              </w:rPr>
            </w:r>
            <w:r>
              <w:rPr>
                <w:noProof/>
                <w:webHidden/>
              </w:rPr>
              <w:fldChar w:fldCharType="separate"/>
            </w:r>
            <w:r>
              <w:rPr>
                <w:noProof/>
                <w:webHidden/>
              </w:rPr>
              <w:t>20</w:t>
            </w:r>
            <w:r>
              <w:rPr>
                <w:noProof/>
                <w:webHidden/>
              </w:rPr>
              <w:fldChar w:fldCharType="end"/>
            </w:r>
          </w:hyperlink>
        </w:p>
        <w:p w14:paraId="2DC58186" w14:textId="208B3B9E" w:rsidR="003D773D" w:rsidRDefault="003D773D">
          <w:pPr>
            <w:pStyle w:val="TM1"/>
            <w:rPr>
              <w:rFonts w:eastAsiaTheme="minorEastAsia" w:cstheme="minorBidi"/>
              <w:b w:val="0"/>
              <w:bCs w:val="0"/>
              <w:i w:val="0"/>
              <w:iCs w:val="0"/>
              <w:noProof/>
              <w:kern w:val="2"/>
              <w:lang w:val="fr-FR"/>
              <w14:ligatures w14:val="standardContextual"/>
            </w:rPr>
          </w:pPr>
          <w:hyperlink w:anchor="_Toc202948825" w:history="1">
            <w:r w:rsidRPr="00B16E26">
              <w:rPr>
                <w:rStyle w:val="Lienhypertexte"/>
                <w:noProof/>
              </w:rPr>
              <w:t>Table of Figures</w:t>
            </w:r>
            <w:r>
              <w:rPr>
                <w:noProof/>
                <w:webHidden/>
              </w:rPr>
              <w:tab/>
            </w:r>
            <w:r>
              <w:rPr>
                <w:noProof/>
                <w:webHidden/>
              </w:rPr>
              <w:fldChar w:fldCharType="begin"/>
            </w:r>
            <w:r>
              <w:rPr>
                <w:noProof/>
                <w:webHidden/>
              </w:rPr>
              <w:instrText xml:space="preserve"> PAGEREF _Toc202948825 \h </w:instrText>
            </w:r>
            <w:r>
              <w:rPr>
                <w:noProof/>
                <w:webHidden/>
              </w:rPr>
            </w:r>
            <w:r>
              <w:rPr>
                <w:noProof/>
                <w:webHidden/>
              </w:rPr>
              <w:fldChar w:fldCharType="separate"/>
            </w:r>
            <w:r>
              <w:rPr>
                <w:noProof/>
                <w:webHidden/>
              </w:rPr>
              <w:t>21</w:t>
            </w:r>
            <w:r>
              <w:rPr>
                <w:noProof/>
                <w:webHidden/>
              </w:rPr>
              <w:fldChar w:fldCharType="end"/>
            </w:r>
          </w:hyperlink>
        </w:p>
        <w:p w14:paraId="0D06D064" w14:textId="3D909300" w:rsidR="003D773D" w:rsidRDefault="003D773D">
          <w:pPr>
            <w:pStyle w:val="TM1"/>
            <w:rPr>
              <w:rFonts w:eastAsiaTheme="minorEastAsia" w:cstheme="minorBidi"/>
              <w:b w:val="0"/>
              <w:bCs w:val="0"/>
              <w:i w:val="0"/>
              <w:iCs w:val="0"/>
              <w:noProof/>
              <w:kern w:val="2"/>
              <w:lang w:val="fr-FR"/>
              <w14:ligatures w14:val="standardContextual"/>
            </w:rPr>
          </w:pPr>
          <w:hyperlink w:anchor="_Toc202948826" w:history="1">
            <w:r w:rsidRPr="00B16E26">
              <w:rPr>
                <w:rStyle w:val="Lienhypertexte"/>
                <w:noProof/>
              </w:rPr>
              <w:t>Table of Tables</w:t>
            </w:r>
            <w:r>
              <w:rPr>
                <w:noProof/>
                <w:webHidden/>
              </w:rPr>
              <w:tab/>
            </w:r>
            <w:r>
              <w:rPr>
                <w:noProof/>
                <w:webHidden/>
              </w:rPr>
              <w:fldChar w:fldCharType="begin"/>
            </w:r>
            <w:r>
              <w:rPr>
                <w:noProof/>
                <w:webHidden/>
              </w:rPr>
              <w:instrText xml:space="preserve"> PAGEREF _Toc202948826 \h </w:instrText>
            </w:r>
            <w:r>
              <w:rPr>
                <w:noProof/>
                <w:webHidden/>
              </w:rPr>
            </w:r>
            <w:r>
              <w:rPr>
                <w:noProof/>
                <w:webHidden/>
              </w:rPr>
              <w:fldChar w:fldCharType="separate"/>
            </w:r>
            <w:r>
              <w:rPr>
                <w:noProof/>
                <w:webHidden/>
              </w:rPr>
              <w:t>21</w:t>
            </w:r>
            <w:r>
              <w:rPr>
                <w:noProof/>
                <w:webHidden/>
              </w:rPr>
              <w:fldChar w:fldCharType="end"/>
            </w:r>
          </w:hyperlink>
        </w:p>
        <w:p w14:paraId="59755695" w14:textId="166331ED" w:rsidR="003D773D" w:rsidRDefault="003D773D">
          <w:pPr>
            <w:pStyle w:val="TM1"/>
            <w:rPr>
              <w:rFonts w:eastAsiaTheme="minorEastAsia" w:cstheme="minorBidi"/>
              <w:b w:val="0"/>
              <w:bCs w:val="0"/>
              <w:i w:val="0"/>
              <w:iCs w:val="0"/>
              <w:noProof/>
              <w:kern w:val="2"/>
              <w:lang w:val="fr-FR"/>
              <w14:ligatures w14:val="standardContextual"/>
            </w:rPr>
          </w:pPr>
          <w:hyperlink w:anchor="_Toc202948827" w:history="1">
            <w:r w:rsidRPr="00B16E26">
              <w:rPr>
                <w:rStyle w:val="Lienhypertexte"/>
                <w:noProof/>
              </w:rPr>
              <w:t>Table of Equations</w:t>
            </w:r>
            <w:r>
              <w:rPr>
                <w:noProof/>
                <w:webHidden/>
              </w:rPr>
              <w:tab/>
            </w:r>
            <w:r>
              <w:rPr>
                <w:noProof/>
                <w:webHidden/>
              </w:rPr>
              <w:fldChar w:fldCharType="begin"/>
            </w:r>
            <w:r>
              <w:rPr>
                <w:noProof/>
                <w:webHidden/>
              </w:rPr>
              <w:instrText xml:space="preserve"> PAGEREF _Toc202948827 \h </w:instrText>
            </w:r>
            <w:r>
              <w:rPr>
                <w:noProof/>
                <w:webHidden/>
              </w:rPr>
            </w:r>
            <w:r>
              <w:rPr>
                <w:noProof/>
                <w:webHidden/>
              </w:rPr>
              <w:fldChar w:fldCharType="separate"/>
            </w:r>
            <w:r>
              <w:rPr>
                <w:noProof/>
                <w:webHidden/>
              </w:rPr>
              <w:t>21</w:t>
            </w:r>
            <w:r>
              <w:rPr>
                <w:noProof/>
                <w:webHidden/>
              </w:rPr>
              <w:fldChar w:fldCharType="end"/>
            </w:r>
          </w:hyperlink>
        </w:p>
        <w:p w14:paraId="5021E0BB" w14:textId="05876C32" w:rsidR="00C37BF8" w:rsidRDefault="00C37BF8" w:rsidP="0061751A">
          <w:r>
            <w:rPr>
              <w:b/>
              <w:bCs/>
              <w:noProof/>
            </w:rPr>
            <w:fldChar w:fldCharType="end"/>
          </w:r>
        </w:p>
      </w:sdtContent>
    </w:sdt>
    <w:p w14:paraId="7ABCCD9D" w14:textId="1613F443" w:rsidR="00F93EDC" w:rsidRDefault="00F93EDC" w:rsidP="00F93EDC">
      <w:pPr>
        <w:pStyle w:val="Textbody"/>
        <w:sectPr w:rsidR="00F93EDC" w:rsidSect="0039747F">
          <w:pgSz w:w="11906" w:h="16838"/>
          <w:pgMar w:top="1134" w:right="1134" w:bottom="991" w:left="1134" w:header="340" w:footer="342" w:gutter="0"/>
          <w:cols w:space="720"/>
          <w:titlePg/>
          <w:docGrid w:linePitch="326"/>
        </w:sectPr>
      </w:pPr>
    </w:p>
    <w:p w14:paraId="26C346E5" w14:textId="2D312307" w:rsidR="00DB4D57" w:rsidRPr="00C008AF" w:rsidRDefault="00000000">
      <w:pPr>
        <w:rPr>
          <w:rFonts w:eastAsiaTheme="minorHAnsi"/>
        </w:rPr>
      </w:pPr>
      <w:r>
        <w:lastRenderedPageBreak/>
        <w:t xml:space="preserve">Digital technology is playing an increasingly important role at the heart of our professional and personal lives. </w:t>
      </w:r>
      <w:r w:rsidR="00C008AF" w:rsidRPr="00541685">
        <w:rPr>
          <w:rFonts w:eastAsiaTheme="minorHAnsi"/>
        </w:rPr>
        <w:t>The democrati</w:t>
      </w:r>
      <w:r w:rsidR="00C008AF">
        <w:rPr>
          <w:rFonts w:eastAsiaTheme="minorHAnsi"/>
        </w:rPr>
        <w:t>z</w:t>
      </w:r>
      <w:r w:rsidR="00C008AF" w:rsidRPr="00541685">
        <w:rPr>
          <w:rFonts w:eastAsiaTheme="minorHAnsi"/>
        </w:rPr>
        <w:t>ation of cloud services accompanying this explosion in usage is contributing more and more to the digitization of all economic sectors, creating a cycle of continuous improvement and change.</w:t>
      </w:r>
    </w:p>
    <w:p w14:paraId="2C839150" w14:textId="152DCD86" w:rsidR="00DB4D57" w:rsidRDefault="00000000">
      <w:r>
        <w:t xml:space="preserve">For </w:t>
      </w:r>
      <w:r w:rsidR="00C008AF">
        <w:t>over</w:t>
      </w:r>
      <w:r>
        <w:t xml:space="preserve"> 20 years, OVHcloud has </w:t>
      </w:r>
      <w:r w:rsidR="00C008AF">
        <w:t xml:space="preserve">been </w:t>
      </w:r>
      <w:r>
        <w:t>innovat</w:t>
      </w:r>
      <w:r w:rsidR="00C008AF">
        <w:t>ing</w:t>
      </w:r>
      <w:r>
        <w:t xml:space="preserve"> to make the cloud more sustainable by reducing the impact of its datacentres and servers and using resources sparingly.</w:t>
      </w:r>
    </w:p>
    <w:p w14:paraId="4E6A86E6" w14:textId="14BE57B2" w:rsidR="00DB4D57" w:rsidRDefault="00C008AF">
      <w:r w:rsidRPr="00541685">
        <w:rPr>
          <w:rFonts w:eastAsiaTheme="minorHAnsi"/>
        </w:rPr>
        <w:t>Maintaining this innovation momentum</w:t>
      </w:r>
      <w:r>
        <w:t xml:space="preserve">, OVHcloud is now offering an </w:t>
      </w:r>
      <w:r w:rsidR="00705D13">
        <w:t>E</w:t>
      </w:r>
      <w:r>
        <w:t xml:space="preserve">nvironmental </w:t>
      </w:r>
      <w:r w:rsidR="00705D13">
        <w:t xml:space="preserve">Impact Tracker </w:t>
      </w:r>
      <w:r>
        <w:t xml:space="preserve">to provide an estimate of greenhouse gas (GHG) emissions. It stands out as the first to offer a transparent and comprehensive approach. </w:t>
      </w:r>
      <w:r w:rsidRPr="00541685">
        <w:rPr>
          <w:rFonts w:eastAsiaTheme="minorHAnsi"/>
        </w:rPr>
        <w:t xml:space="preserve">Allowing OVHcloud customers to understand their carbon footprint, the results linked to their cloud usage are broken down into </w:t>
      </w:r>
      <w:r>
        <w:rPr>
          <w:rFonts w:eastAsiaTheme="minorHAnsi"/>
        </w:rPr>
        <w:t>three</w:t>
      </w:r>
      <w:r w:rsidRPr="00541685">
        <w:rPr>
          <w:rFonts w:eastAsiaTheme="minorHAnsi"/>
        </w:rPr>
        <w:t xml:space="preserve"> emission categories:</w:t>
      </w:r>
    </w:p>
    <w:p w14:paraId="323133DF" w14:textId="453F7952" w:rsidR="00DB4D57" w:rsidRDefault="00000000">
      <w:pPr>
        <w:pStyle w:val="Paragraphedeliste"/>
        <w:numPr>
          <w:ilvl w:val="0"/>
          <w:numId w:val="3"/>
        </w:numPr>
      </w:pPr>
      <w:r>
        <w:rPr>
          <w:b/>
          <w:bCs/>
        </w:rPr>
        <w:t>the manufacturing phase</w:t>
      </w:r>
      <w:r>
        <w:t xml:space="preserve">: upstream greenhouse gas emissions linked to the purchase and assembly of </w:t>
      </w:r>
      <w:r w:rsidR="00C008AF">
        <w:t>components of the servers</w:t>
      </w:r>
      <w:r>
        <w:t>;</w:t>
      </w:r>
    </w:p>
    <w:p w14:paraId="249FCF39" w14:textId="77777777" w:rsidR="00DB4D57" w:rsidRDefault="00000000">
      <w:pPr>
        <w:pStyle w:val="Paragraphedeliste"/>
        <w:numPr>
          <w:ilvl w:val="0"/>
          <w:numId w:val="3"/>
        </w:numPr>
      </w:pPr>
      <w:r>
        <w:rPr>
          <w:b/>
          <w:bCs/>
        </w:rPr>
        <w:t>the usage phase</w:t>
      </w:r>
      <w:r>
        <w:t>: emissions linked to the power consumption of the server(s) and its appendices;</w:t>
      </w:r>
    </w:p>
    <w:p w14:paraId="21DD960D" w14:textId="347B6BBF" w:rsidR="00DB4D57" w:rsidRDefault="00000000">
      <w:pPr>
        <w:pStyle w:val="Paragraphedeliste"/>
        <w:numPr>
          <w:ilvl w:val="0"/>
          <w:numId w:val="3"/>
        </w:numPr>
      </w:pPr>
      <w:r>
        <w:rPr>
          <w:b/>
          <w:bCs/>
        </w:rPr>
        <w:t>other emissions</w:t>
      </w:r>
      <w:r>
        <w:t xml:space="preserve">: other emissions such as freight, buildings or </w:t>
      </w:r>
      <w:r w:rsidR="00C008AF" w:rsidRPr="00541685">
        <w:rPr>
          <w:rFonts w:eastAsiaTheme="minorHAnsi"/>
        </w:rPr>
        <w:t>the impact induced by employees</w:t>
      </w:r>
      <w:r>
        <w:t xml:space="preserve">, </w:t>
      </w:r>
      <w:r w:rsidR="00C008AF">
        <w:t xml:space="preserve">known </w:t>
      </w:r>
      <w:r>
        <w:t>as ‘operations’.</w:t>
      </w:r>
    </w:p>
    <w:p w14:paraId="4CD22A1E" w14:textId="56522E91" w:rsidR="00DB4D57" w:rsidRPr="003A46EC" w:rsidRDefault="00000000">
      <w:pPr>
        <w:rPr>
          <w:rFonts w:eastAsiaTheme="minorHAnsi"/>
        </w:rPr>
      </w:pPr>
      <w:r>
        <w:t>IJO, a consult</w:t>
      </w:r>
      <w:r w:rsidR="00C008AF">
        <w:t>ancy</w:t>
      </w:r>
      <w:r>
        <w:t xml:space="preserve"> specializ</w:t>
      </w:r>
      <w:r w:rsidR="00C008AF">
        <w:t>ing</w:t>
      </w:r>
      <w:r>
        <w:t xml:space="preserve"> in Green IT, and Cost House, a </w:t>
      </w:r>
      <w:r w:rsidR="00C008AF">
        <w:t xml:space="preserve">consultancy specializing </w:t>
      </w:r>
      <w:r>
        <w:t xml:space="preserve">in economic performance, </w:t>
      </w:r>
      <w:r w:rsidR="00C008AF">
        <w:t>have been</w:t>
      </w:r>
      <w:r>
        <w:t xml:space="preserve"> commissioned in 2024 to </w:t>
      </w:r>
      <w:r w:rsidR="00C008AF">
        <w:t>carry out</w:t>
      </w:r>
      <w:r>
        <w:t xml:space="preserve"> </w:t>
      </w:r>
      <w:r w:rsidR="00C008AF" w:rsidRPr="00541685">
        <w:rPr>
          <w:rFonts w:eastAsiaTheme="minorHAnsi"/>
        </w:rPr>
        <w:t xml:space="preserve">a methodological review </w:t>
      </w:r>
      <w:r>
        <w:t xml:space="preserve">of </w:t>
      </w:r>
      <w:r w:rsidR="00C008AF">
        <w:t xml:space="preserve">the </w:t>
      </w:r>
      <w:r>
        <w:t xml:space="preserve">OVHcloud’s </w:t>
      </w:r>
      <w:r w:rsidR="00705D13">
        <w:t>E</w:t>
      </w:r>
      <w:r>
        <w:t xml:space="preserve">nvironmental </w:t>
      </w:r>
      <w:r w:rsidR="00705D13">
        <w:t xml:space="preserve">Impact Tracker </w:t>
      </w:r>
      <w:r>
        <w:t xml:space="preserve">which met the standards of the Bilan Carbone® method and the GHG Protocol. </w:t>
      </w:r>
      <w:r w:rsidR="003A46EC">
        <w:t>Y</w:t>
      </w:r>
      <w:r>
        <w:t>ou will find</w:t>
      </w:r>
      <w:r w:rsidR="003A46EC">
        <w:t xml:space="preserve"> </w:t>
      </w:r>
      <w:hyperlink r:id="rId12" w:history="1">
        <w:r w:rsidR="003A46EC" w:rsidRPr="000A0546">
          <w:rPr>
            <w:rStyle w:val="Lienhypertexte"/>
          </w:rPr>
          <w:t>here</w:t>
        </w:r>
      </w:hyperlink>
      <w:r>
        <w:t xml:space="preserve"> </w:t>
      </w:r>
      <w:r w:rsidR="003A46EC" w:rsidRPr="003A46EC">
        <w:rPr>
          <w:rFonts w:eastAsiaTheme="minorHAnsi"/>
        </w:rPr>
        <w:t xml:space="preserve"> </w:t>
      </w:r>
      <w:r w:rsidR="003A46EC" w:rsidRPr="00541685">
        <w:rPr>
          <w:rFonts w:eastAsiaTheme="minorHAnsi"/>
        </w:rPr>
        <w:t xml:space="preserve">the certification letter for the </w:t>
      </w:r>
      <w:r w:rsidR="00705D13">
        <w:rPr>
          <w:rFonts w:eastAsiaTheme="minorHAnsi"/>
        </w:rPr>
        <w:t>E</w:t>
      </w:r>
      <w:r w:rsidR="003A46EC">
        <w:rPr>
          <w:rFonts w:eastAsiaTheme="minorHAnsi"/>
        </w:rPr>
        <w:t xml:space="preserve">nvironmental </w:t>
      </w:r>
      <w:r w:rsidR="00705D13">
        <w:rPr>
          <w:rFonts w:eastAsiaTheme="minorHAnsi"/>
        </w:rPr>
        <w:t>Impact Tracker</w:t>
      </w:r>
      <w:r>
        <w:t xml:space="preserve">, </w:t>
      </w:r>
      <w:r w:rsidR="003A46EC" w:rsidRPr="00541685">
        <w:rPr>
          <w:rFonts w:eastAsiaTheme="minorHAnsi"/>
        </w:rPr>
        <w:t>certified as compliant with the Bilan Carbone® method, meeting the requirements of the GHG Protocol and, moreover, adapted to OVHcloud's activities, presenting a high level of accuracy</w:t>
      </w:r>
      <w:r>
        <w:t>.</w:t>
      </w:r>
    </w:p>
    <w:p w14:paraId="57A84D6D" w14:textId="2CB81119" w:rsidR="00DB4D57" w:rsidRDefault="003A46EC">
      <w:pPr>
        <w:sectPr w:rsidR="00DB4D57" w:rsidSect="0039747F">
          <w:footerReference w:type="first" r:id="rId13"/>
          <w:pgSz w:w="11906" w:h="16838"/>
          <w:pgMar w:top="1134" w:right="1134" w:bottom="991" w:left="1134" w:header="340" w:footer="340" w:gutter="0"/>
          <w:pgNumType w:start="1"/>
          <w:cols w:space="720"/>
          <w:titlePg/>
          <w:docGrid w:linePitch="326"/>
        </w:sectPr>
      </w:pPr>
      <w:r w:rsidRPr="00541685">
        <w:rPr>
          <w:rFonts w:eastAsiaTheme="minorHAnsi"/>
        </w:rPr>
        <w:t xml:space="preserve">Before displaying </w:t>
      </w:r>
      <w:r>
        <w:t xml:space="preserve">the automation of environmental footprint calculations, and in order to carry out this project successfully, a strict methodology has been established. </w:t>
      </w:r>
      <w:r w:rsidRPr="00541685">
        <w:rPr>
          <w:rFonts w:eastAsiaTheme="minorHAnsi"/>
        </w:rPr>
        <w:t>We present here a short version of it.</w:t>
      </w:r>
    </w:p>
    <w:p w14:paraId="6EAF3F83" w14:textId="77777777" w:rsidR="00DB4D57" w:rsidRDefault="00000000">
      <w:pPr>
        <w:pStyle w:val="Titre1"/>
        <w:numPr>
          <w:ilvl w:val="0"/>
          <w:numId w:val="4"/>
        </w:numPr>
      </w:pPr>
      <w:bookmarkStart w:id="0" w:name="_Toc188350586"/>
      <w:bookmarkStart w:id="1" w:name="_Toc202948802"/>
      <w:r>
        <w:lastRenderedPageBreak/>
        <w:t>Comprehensive approach to accounting for GHG emissions</w:t>
      </w:r>
      <w:bookmarkEnd w:id="0"/>
      <w:bookmarkEnd w:id="1"/>
    </w:p>
    <w:p w14:paraId="54247A87" w14:textId="33200175" w:rsidR="00DB4D57" w:rsidRDefault="00000000">
      <w:pPr>
        <w:pStyle w:val="Titre2"/>
      </w:pPr>
      <w:bookmarkStart w:id="2" w:name="_Toc188350587"/>
      <w:bookmarkStart w:id="3" w:name="_Toc202948803"/>
      <w:r>
        <w:t xml:space="preserve">Commitment </w:t>
      </w:r>
      <w:r w:rsidR="00E816AB">
        <w:t>in</w:t>
      </w:r>
      <w:r>
        <w:t xml:space="preserve"> providing transparent, </w:t>
      </w:r>
      <w:r w:rsidR="00E816AB">
        <w:t>comprehensive</w:t>
      </w:r>
      <w:r>
        <w:t xml:space="preserve"> and reliable information</w:t>
      </w:r>
      <w:bookmarkEnd w:id="2"/>
      <w:bookmarkEnd w:id="3"/>
    </w:p>
    <w:p w14:paraId="167D6323" w14:textId="750C79CA" w:rsidR="00DB4D57" w:rsidRDefault="00000000">
      <w:r>
        <w:t xml:space="preserve">OVHcloud’s commitment </w:t>
      </w:r>
      <w:r w:rsidR="00E816AB">
        <w:t>in</w:t>
      </w:r>
      <w:r>
        <w:t xml:space="preserve"> communicating greenhouse gas (GHG) emissions information to its customers begins with </w:t>
      </w:r>
      <w:r w:rsidR="00E816AB">
        <w:t>the calculation of</w:t>
      </w:r>
      <w:r>
        <w:t xml:space="preserve"> the GHG emissions associated with all the </w:t>
      </w:r>
      <w:r w:rsidR="00E816AB">
        <w:t xml:space="preserve">delivered </w:t>
      </w:r>
      <w:r>
        <w:t>services. OVHcloud develop</w:t>
      </w:r>
      <w:r w:rsidR="00E816AB">
        <w:t>s</w:t>
      </w:r>
      <w:r>
        <w:t xml:space="preserve"> an approach that </w:t>
      </w:r>
      <w:r w:rsidR="00E816AB">
        <w:t>embraces</w:t>
      </w:r>
      <w:r>
        <w:t xml:space="preserve"> all products </w:t>
      </w:r>
      <w:r w:rsidR="00E816AB">
        <w:t>of</w:t>
      </w:r>
      <w:r>
        <w:t xml:space="preserve"> its catalog in order to provide a complete environmental footprint </w:t>
      </w:r>
      <w:r w:rsidR="00E816AB">
        <w:t>to</w:t>
      </w:r>
      <w:r>
        <w:t xml:space="preserve"> each customer. </w:t>
      </w:r>
      <w:r w:rsidR="00E816AB">
        <w:t>Every</w:t>
      </w:r>
      <w:r>
        <w:t xml:space="preserve"> service </w:t>
      </w:r>
      <w:r w:rsidR="00E816AB">
        <w:t>delivered</w:t>
      </w:r>
      <w:r>
        <w:t xml:space="preserve"> has its own </w:t>
      </w:r>
      <w:r w:rsidR="00E816AB">
        <w:t>features</w:t>
      </w:r>
      <w:r>
        <w:t xml:space="preserve"> and </w:t>
      </w:r>
      <w:r w:rsidR="00E816AB">
        <w:t>adresses</w:t>
      </w:r>
      <w:r>
        <w:t xml:space="preserve"> specific customer</w:t>
      </w:r>
      <w:r w:rsidR="00E816AB">
        <w:t xml:space="preserve"> needs</w:t>
      </w:r>
      <w:r>
        <w:t xml:space="preserve">. </w:t>
      </w:r>
      <w:r w:rsidR="00E816AB">
        <w:t>Therefore</w:t>
      </w:r>
      <w:r>
        <w:t xml:space="preserve">, developing a calculation methodology that is specific to each service is a process that OVHcloud </w:t>
      </w:r>
      <w:r w:rsidR="00E816AB">
        <w:t>handles thoroughly</w:t>
      </w:r>
      <w:r>
        <w:t xml:space="preserve"> in a methodical and structured way, </w:t>
      </w:r>
      <w:r w:rsidR="00E816AB" w:rsidRPr="00541685">
        <w:t>embraced in overall sustainability roadmap</w:t>
      </w:r>
      <w:r>
        <w:t>.</w:t>
      </w:r>
    </w:p>
    <w:p w14:paraId="6351043D" w14:textId="4528DFBF" w:rsidR="00DB4D57" w:rsidRDefault="00000000">
      <w:r>
        <w:t xml:space="preserve">First of all, as recommended by the </w:t>
      </w:r>
      <w:r w:rsidR="00E816AB">
        <w:t>highest</w:t>
      </w:r>
      <w:r>
        <w:t xml:space="preserve"> standards</w:t>
      </w:r>
      <w:r w:rsidR="00E816AB">
        <w:t xml:space="preserve"> in GHG accounting</w:t>
      </w:r>
      <w:r>
        <w:t xml:space="preserve">, OVHcloud </w:t>
      </w:r>
      <w:r w:rsidR="00E816AB">
        <w:t xml:space="preserve">also includes in this tool, </w:t>
      </w:r>
      <w:r>
        <w:t xml:space="preserve">emissions </w:t>
      </w:r>
      <w:r w:rsidR="00E816AB">
        <w:t>related to OVHcloud operations</w:t>
      </w:r>
      <w:r>
        <w:t xml:space="preserve">. The </w:t>
      </w:r>
      <w:r w:rsidR="00E816AB">
        <w:t>aim here</w:t>
      </w:r>
      <w:r>
        <w:t xml:space="preserve"> is to provide </w:t>
      </w:r>
      <w:r w:rsidR="00E816AB">
        <w:t>trustworthy</w:t>
      </w:r>
      <w:r>
        <w:t xml:space="preserve"> results and </w:t>
      </w:r>
      <w:r w:rsidR="00E816AB" w:rsidRPr="00541685">
        <w:t xml:space="preserve">highlight </w:t>
      </w:r>
      <w:r>
        <w:t>commitment to reduc</w:t>
      </w:r>
      <w:r w:rsidR="00E816AB">
        <w:t>ing</w:t>
      </w:r>
      <w:r>
        <w:t xml:space="preserve"> all </w:t>
      </w:r>
      <w:r w:rsidR="00E816AB">
        <w:t xml:space="preserve">of </w:t>
      </w:r>
      <w:r>
        <w:t xml:space="preserve">OVHcloud emissions. Details </w:t>
      </w:r>
      <w:r w:rsidR="00E816AB">
        <w:t xml:space="preserve">about actions </w:t>
      </w:r>
      <w:r>
        <w:t xml:space="preserve">on OVHcloud’s environmental commitments are available on our </w:t>
      </w:r>
      <w:hyperlink r:id="rId14" w:history="1">
        <w:r w:rsidR="00DB4D57">
          <w:rPr>
            <w:rStyle w:val="Lienhypertexte"/>
          </w:rPr>
          <w:t>corporate</w:t>
        </w:r>
      </w:hyperlink>
      <w:r>
        <w:t xml:space="preserve"> website.</w:t>
      </w:r>
    </w:p>
    <w:p w14:paraId="05A0E97E" w14:textId="1045CB24" w:rsidR="002977DB" w:rsidRPr="00541685" w:rsidRDefault="002977DB" w:rsidP="002977DB">
      <w:r w:rsidRPr="00541685">
        <w:t>The choice made by OVHcloud is to communicate to the customers all of the emissions from the three scopes of carbon reporting (scope 1</w:t>
      </w:r>
      <w:r>
        <w:t>:</w:t>
      </w:r>
      <w:r w:rsidRPr="00541685">
        <w:t xml:space="preserve"> direct emissions, scope 2 and 3</w:t>
      </w:r>
      <w:r>
        <w:t>:</w:t>
      </w:r>
      <w:r w:rsidRPr="00541685">
        <w:t xml:space="preserve"> indirect emissions). Transparency towards customers is key, and therefore it is OVHcloud responsibility to provide a complete carbon footprint by categories to give to the clients all the elements to monitor and reduce the impacts of the products they use.</w:t>
      </w:r>
    </w:p>
    <w:p w14:paraId="7E5F23DF" w14:textId="6AC875D0" w:rsidR="00DB4D57" w:rsidRDefault="002977DB">
      <w:r w:rsidRPr="00541685">
        <w:rPr>
          <w:lang w:val="en"/>
        </w:rPr>
        <w:t xml:space="preserve">OVHcloud activities’ main sources of GHG emissions </w:t>
      </w:r>
      <w:r>
        <w:t xml:space="preserve">(location-based) are the production of servers (27 % in 2024) and the supply of electricity (49 % in 2024). </w:t>
      </w:r>
      <w:r w:rsidRPr="00541685">
        <w:rPr>
          <w:lang w:val="en"/>
        </w:rPr>
        <w:t xml:space="preserve">The rest of the scopes of emissions account in total for </w:t>
      </w:r>
      <w:r>
        <w:t xml:space="preserve">24 %. To enable customers to reduce their impacts, and in accordance with OVHcloud’s transparency values, the </w:t>
      </w:r>
      <w:r w:rsidR="00705D13">
        <w:t>E</w:t>
      </w:r>
      <w:r>
        <w:t xml:space="preserve">nvironmental </w:t>
      </w:r>
      <w:r w:rsidR="00705D13">
        <w:t xml:space="preserve">Impact Tracker </w:t>
      </w:r>
      <w:r>
        <w:t>shows an environmental footprint allocated over three pillars (</w:t>
      </w:r>
      <w:r w:rsidR="00A4296E">
        <w:fldChar w:fldCharType="begin"/>
      </w:r>
      <w:r w:rsidR="00A4296E">
        <w:instrText xml:space="preserve"> REF _Ref202946175 \h </w:instrText>
      </w:r>
      <w:r w:rsidR="00A4296E">
        <w:fldChar w:fldCharType="separate"/>
      </w:r>
      <w:r w:rsidR="00A4296E">
        <w:t xml:space="preserve">Figure </w:t>
      </w:r>
      <w:r w:rsidR="00A4296E">
        <w:rPr>
          <w:noProof/>
        </w:rPr>
        <w:t>1</w:t>
      </w:r>
      <w:r w:rsidR="00A4296E">
        <w:fldChar w:fldCharType="end"/>
      </w:r>
      <w:r>
        <w:t xml:space="preserve">): </w:t>
      </w:r>
    </w:p>
    <w:p w14:paraId="72A51AFB" w14:textId="77777777" w:rsidR="00DB4D57" w:rsidRDefault="00000000">
      <w:pPr>
        <w:pStyle w:val="Paragraphedeliste"/>
        <w:numPr>
          <w:ilvl w:val="0"/>
          <w:numId w:val="5"/>
        </w:numPr>
      </w:pPr>
      <w:r>
        <w:t xml:space="preserve">Manufacturing, </w:t>
      </w:r>
    </w:p>
    <w:p w14:paraId="43090C77" w14:textId="275C8E1F" w:rsidR="00DB4D57" w:rsidRDefault="00705D13">
      <w:pPr>
        <w:pStyle w:val="Paragraphedeliste"/>
        <w:numPr>
          <w:ilvl w:val="0"/>
          <w:numId w:val="5"/>
        </w:numPr>
      </w:pPr>
      <w:r>
        <w:t>Usage</w:t>
      </w:r>
      <w:r w:rsidR="002977DB">
        <w:t xml:space="preserve">, </w:t>
      </w:r>
    </w:p>
    <w:p w14:paraId="4D2FFFAE" w14:textId="77777777" w:rsidR="00DB4D57" w:rsidRDefault="00000000">
      <w:pPr>
        <w:pStyle w:val="Paragraphedeliste"/>
        <w:numPr>
          <w:ilvl w:val="0"/>
          <w:numId w:val="5"/>
        </w:numPr>
      </w:pPr>
      <w:r>
        <w:t xml:space="preserve">Operations. </w:t>
      </w:r>
    </w:p>
    <w:p w14:paraId="457096DE" w14:textId="7127571A" w:rsidR="00DB4D57" w:rsidRDefault="00000000">
      <w:pPr>
        <w:pStyle w:val="Citationintense"/>
      </w:pPr>
      <w:r>
        <w:t xml:space="preserve">Three pillars </w:t>
      </w:r>
      <w:r w:rsidR="009006F4">
        <w:t>have been</w:t>
      </w:r>
      <w:r>
        <w:t xml:space="preserve"> chosen to show environmental impacts. These three pillars </w:t>
      </w:r>
      <w:r w:rsidR="002977DB">
        <w:t xml:space="preserve">point out </w:t>
      </w:r>
      <w:r>
        <w:t xml:space="preserve"> life cycle milestones: </w:t>
      </w:r>
    </w:p>
    <w:p w14:paraId="0B58A8A1" w14:textId="40E8E0E3" w:rsidR="00DB4D57" w:rsidRDefault="00000000">
      <w:pPr>
        <w:pStyle w:val="Citationintense"/>
      </w:pPr>
      <w:r>
        <w:t>Manufacturing, Usage (through electricity) and Operations</w:t>
      </w:r>
    </w:p>
    <w:p w14:paraId="6349E421" w14:textId="6B72164D" w:rsidR="00DB4D57" w:rsidRDefault="00A4296E" w:rsidP="00A4296E">
      <w:pPr>
        <w:pStyle w:val="Titre2"/>
      </w:pPr>
      <w:r w:rsidRPr="00A4296E">
        <w:rPr>
          <w:noProof/>
          <w14:ligatures w14:val="standardContextual"/>
        </w:rPr>
        <w:lastRenderedPageBreak/>
        <w:t xml:space="preserve"> </w:t>
      </w:r>
      <w:bookmarkStart w:id="4" w:name="_Toc202948804"/>
      <w:r w:rsidRPr="00A4296E">
        <w:rPr>
          <w:noProof/>
        </w:rPr>
        <mc:AlternateContent>
          <mc:Choice Requires="wps">
            <w:drawing>
              <wp:anchor distT="0" distB="0" distL="114300" distR="114300" simplePos="0" relativeHeight="251724800" behindDoc="0" locked="0" layoutInCell="1" allowOverlap="1" wp14:anchorId="059FB294" wp14:editId="77A21333">
                <wp:simplePos x="0" y="0"/>
                <wp:positionH relativeFrom="column">
                  <wp:posOffset>-133985</wp:posOffset>
                </wp:positionH>
                <wp:positionV relativeFrom="paragraph">
                  <wp:posOffset>3620770</wp:posOffset>
                </wp:positionV>
                <wp:extent cx="6913880" cy="635"/>
                <wp:effectExtent l="0" t="0" r="0" b="12065"/>
                <wp:wrapTopAndBottom/>
                <wp:docPr id="499738826" name="Zone de texte 1"/>
                <wp:cNvGraphicFramePr/>
                <a:graphic xmlns:a="http://schemas.openxmlformats.org/drawingml/2006/main">
                  <a:graphicData uri="http://schemas.microsoft.com/office/word/2010/wordprocessingShape">
                    <wps:wsp>
                      <wps:cNvSpPr txBox="1"/>
                      <wps:spPr>
                        <a:xfrm>
                          <a:off x="0" y="0"/>
                          <a:ext cx="6913880" cy="635"/>
                        </a:xfrm>
                        <a:prstGeom prst="rect">
                          <a:avLst/>
                        </a:prstGeom>
                        <a:solidFill>
                          <a:prstClr val="white"/>
                        </a:solidFill>
                        <a:ln>
                          <a:noFill/>
                        </a:ln>
                      </wps:spPr>
                      <wps:txbx>
                        <w:txbxContent>
                          <w:p w14:paraId="52BA3E9A" w14:textId="1331F338" w:rsidR="00A4296E" w:rsidRPr="004D00A0" w:rsidRDefault="00A4296E" w:rsidP="00A4296E">
                            <w:pPr>
                              <w:pStyle w:val="Lgende"/>
                              <w:rPr>
                                <w:rFonts w:eastAsia="Noto Sans CJK SC" w:cstheme="majorHAnsi"/>
                                <w:b/>
                                <w:bCs/>
                                <w:noProof/>
                                <w:color w:val="000000"/>
                                <w:sz w:val="28"/>
                                <w:szCs w:val="28"/>
                              </w:rPr>
                            </w:pPr>
                            <w:bookmarkStart w:id="5" w:name="_Ref202946175"/>
                            <w:bookmarkStart w:id="6" w:name="_Toc202948836"/>
                            <w:r>
                              <w:t xml:space="preserve">Figure </w:t>
                            </w:r>
                            <w:fldSimple w:instr=" SEQ Figure \* ARABIC ">
                              <w:r w:rsidR="00AB593C">
                                <w:rPr>
                                  <w:noProof/>
                                </w:rPr>
                                <w:t>1</w:t>
                              </w:r>
                            </w:fldSimple>
                            <w:bookmarkEnd w:id="5"/>
                            <w:r>
                              <w:t xml:space="preserve"> - </w:t>
                            </w:r>
                            <w:r w:rsidRPr="009418BC">
                              <w:t>Perimeters for assessing the GHG emissions of cloud services (Source: OVHcloud)</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FB294" id="Zone de texte 1" o:spid="_x0000_s1028" type="#_x0000_t202" style="position:absolute;left:0;text-align:left;margin-left:-10.55pt;margin-top:285.1pt;width:544.4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" stroked="f">
                <v:textbox style="mso-fit-shape-to-text:t" inset="0,0,0,0">
                  <w:txbxContent>
                    <w:p w14:paraId="52BA3E9A" w14:textId="1331F338" w:rsidR="00A4296E" w:rsidRPr="004D00A0" w:rsidRDefault="00A4296E" w:rsidP="00A4296E">
                      <w:pPr>
                        <w:pStyle w:val="Lgende"/>
                        <w:rPr>
                          <w:rFonts w:eastAsia="Noto Sans CJK SC" w:cstheme="majorHAnsi"/>
                          <w:b/>
                          <w:bCs/>
                          <w:noProof/>
                          <w:color w:val="000000"/>
                          <w:sz w:val="28"/>
                          <w:szCs w:val="28"/>
                        </w:rPr>
                      </w:pPr>
                      <w:bookmarkStart w:id="45" w:name="_Ref202946175"/>
                      <w:bookmarkStart w:id="46" w:name="_Toc202948836"/>
                      <w:r>
                        <w:t xml:space="preserve">Figure </w:t>
                      </w:r>
                      <w:fldSimple w:instr=" SEQ Figure \* ARABIC ">
                        <w:r w:rsidR="00AB593C">
                          <w:rPr>
                            <w:noProof/>
                          </w:rPr>
                          <w:t>1</w:t>
                        </w:r>
                      </w:fldSimple>
                      <w:bookmarkEnd w:id="45"/>
                      <w:r>
                        <w:t xml:space="preserve"> - </w:t>
                      </w:r>
                      <w:r w:rsidRPr="009418BC">
                        <w:t>Perimeters for assessing the GHG emissions of cloud services (Source: OVHcloud)</w:t>
                      </w:r>
                      <w:bookmarkEnd w:id="46"/>
                    </w:p>
                  </w:txbxContent>
                </v:textbox>
                <w10:wrap type="topAndBottom"/>
              </v:shape>
            </w:pict>
          </mc:Fallback>
        </mc:AlternateContent>
      </w:r>
      <w:r w:rsidRPr="00A4296E">
        <w:rPr>
          <w:noProof/>
        </w:rPr>
        <w:drawing>
          <wp:anchor distT="0" distB="0" distL="114300" distR="114300" simplePos="0" relativeHeight="251722752" behindDoc="0" locked="0" layoutInCell="1" allowOverlap="1" wp14:anchorId="4D226A81" wp14:editId="6172900D">
            <wp:simplePos x="0" y="0"/>
            <wp:positionH relativeFrom="margin">
              <wp:align>center</wp:align>
            </wp:positionH>
            <wp:positionV relativeFrom="margin">
              <wp:align>top</wp:align>
            </wp:positionV>
            <wp:extent cx="6913962" cy="3564000"/>
            <wp:effectExtent l="0" t="0" r="0" b="5080"/>
            <wp:wrapTopAndBottom/>
            <wp:docPr id="508772541" name="Image 1"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72541" name="Image 1" descr="Une image contenant texte, capture d’écran, Page web, Site web&#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3962" cy="3564000"/>
                    </a:xfrm>
                    <a:prstGeom prst="rect">
                      <a:avLst/>
                    </a:prstGeom>
                  </pic:spPr>
                </pic:pic>
              </a:graphicData>
            </a:graphic>
            <wp14:sizeRelH relativeFrom="page">
              <wp14:pctWidth>0</wp14:pctWidth>
            </wp14:sizeRelH>
            <wp14:sizeRelV relativeFrom="page">
              <wp14:pctHeight>0</wp14:pctHeight>
            </wp14:sizeRelV>
          </wp:anchor>
        </w:drawing>
      </w:r>
      <w:r w:rsidR="009006F4" w:rsidRPr="00A4296E">
        <w:t>Selection</w:t>
      </w:r>
      <w:r w:rsidR="009006F4">
        <w:t xml:space="preserve"> of products addressed</w:t>
      </w:r>
      <w:bookmarkEnd w:id="4"/>
    </w:p>
    <w:p w14:paraId="5BFCF792" w14:textId="7D37A38F" w:rsidR="00DB4D57" w:rsidRDefault="00000000">
      <w:r>
        <w:t xml:space="preserve">OVHcloud offers a </w:t>
      </w:r>
      <w:r w:rsidR="009006F4">
        <w:t>large</w:t>
      </w:r>
      <w:r>
        <w:t xml:space="preserve"> range of services, from computing to data storage to web hosting. This </w:t>
      </w:r>
      <w:r w:rsidR="009006F4">
        <w:t>extensive</w:t>
      </w:r>
      <w:r>
        <w:t xml:space="preserve"> catalog is a challenge when </w:t>
      </w:r>
      <w:r w:rsidR="009006F4">
        <w:t xml:space="preserve">addressing </w:t>
      </w:r>
      <w:r>
        <w:t xml:space="preserve">the allocation of </w:t>
      </w:r>
      <w:r w:rsidR="009006F4">
        <w:t xml:space="preserve">GHG </w:t>
      </w:r>
      <w:r>
        <w:t xml:space="preserve">emissions. </w:t>
      </w:r>
    </w:p>
    <w:p w14:paraId="12B2797A" w14:textId="612584A7" w:rsidR="00DB4D57" w:rsidRDefault="009006F4">
      <w:r>
        <w:t>Consequently, and with the aim of designing a coherent and reliable approach, we decided to address five major products:</w:t>
      </w:r>
    </w:p>
    <w:p w14:paraId="63EB0433" w14:textId="4FA0C8E9" w:rsidR="00DB4D57" w:rsidRDefault="00000000">
      <w:pPr>
        <w:pStyle w:val="Paragraphedeliste"/>
        <w:numPr>
          <w:ilvl w:val="0"/>
          <w:numId w:val="6"/>
        </w:numPr>
      </w:pPr>
      <w:r>
        <w:rPr>
          <w:i/>
          <w:iCs/>
        </w:rPr>
        <w:t xml:space="preserve">Bare metal </w:t>
      </w:r>
      <w:r>
        <w:t>dedicated servers (first available</w:t>
      </w:r>
      <w:r w:rsidR="009006F4">
        <w:t xml:space="preserve"> version</w:t>
      </w:r>
      <w:r>
        <w:t>: May 2023)</w:t>
      </w:r>
    </w:p>
    <w:p w14:paraId="4A0D1249" w14:textId="0E9D3FA3" w:rsidR="00DB4D57" w:rsidRDefault="00000000">
      <w:pPr>
        <w:pStyle w:val="Paragraphedeliste"/>
        <w:numPr>
          <w:ilvl w:val="0"/>
          <w:numId w:val="6"/>
        </w:numPr>
      </w:pPr>
      <w:r>
        <w:rPr>
          <w:i/>
          <w:iCs/>
        </w:rPr>
        <w:t xml:space="preserve">Hosted Private Cloud </w:t>
      </w:r>
      <w:r>
        <w:t xml:space="preserve">servers (first </w:t>
      </w:r>
      <w:r w:rsidR="009006F4">
        <w:t xml:space="preserve">available </w:t>
      </w:r>
      <w:r>
        <w:t>version for hosts: August 2023)</w:t>
      </w:r>
    </w:p>
    <w:p w14:paraId="72835ABA" w14:textId="1A31CDD8" w:rsidR="00DB4D57" w:rsidRDefault="00000000">
      <w:pPr>
        <w:pStyle w:val="Paragraphedeliste"/>
        <w:numPr>
          <w:ilvl w:val="0"/>
          <w:numId w:val="6"/>
        </w:numPr>
      </w:pPr>
      <w:r>
        <w:rPr>
          <w:i/>
          <w:iCs/>
        </w:rPr>
        <w:t>Public Cloud</w:t>
      </w:r>
      <w:r>
        <w:t xml:space="preserve"> - Compute (first </w:t>
      </w:r>
      <w:r w:rsidR="009006F4">
        <w:t xml:space="preserve">available </w:t>
      </w:r>
      <w:r>
        <w:t>version: January 2025)</w:t>
      </w:r>
    </w:p>
    <w:p w14:paraId="343C741A" w14:textId="08E1DA9F" w:rsidR="00DB4D57" w:rsidRDefault="00000000">
      <w:pPr>
        <w:pStyle w:val="Paragraphedeliste"/>
        <w:numPr>
          <w:ilvl w:val="0"/>
          <w:numId w:val="6"/>
        </w:numPr>
      </w:pPr>
      <w:r>
        <w:rPr>
          <w:i/>
          <w:iCs/>
        </w:rPr>
        <w:t>Public Cloud</w:t>
      </w:r>
      <w:r>
        <w:t xml:space="preserve"> - Block Storage and Object Storage (coming soon)</w:t>
      </w:r>
    </w:p>
    <w:p w14:paraId="0E3EDDE5" w14:textId="77777777" w:rsidR="00DB4D57" w:rsidRDefault="00000000">
      <w:pPr>
        <w:pStyle w:val="Paragraphedeliste"/>
        <w:numPr>
          <w:ilvl w:val="0"/>
          <w:numId w:val="6"/>
        </w:numPr>
      </w:pPr>
      <w:r>
        <w:t>Web hosting (coming soon)</w:t>
      </w:r>
    </w:p>
    <w:p w14:paraId="1CD34281" w14:textId="2679C49C" w:rsidR="00DB4D57" w:rsidRDefault="00000000">
      <w:r>
        <w:t xml:space="preserve">As published in the </w:t>
      </w:r>
      <w:r w:rsidR="009006F4">
        <w:t xml:space="preserve">Fiscal Year </w:t>
      </w:r>
      <w:r>
        <w:t>2024</w:t>
      </w:r>
      <w:r>
        <w:rPr>
          <w:rStyle w:val="Appelnotedebasdep"/>
        </w:rPr>
        <w:footnoteReference w:id="1"/>
      </w:r>
      <w:r>
        <w:t xml:space="preserve"> Annual Results, </w:t>
      </w:r>
      <w:r w:rsidR="009006F4">
        <w:t xml:space="preserve">the </w:t>
      </w:r>
      <w:r>
        <w:t>revenue</w:t>
      </w:r>
      <w:r w:rsidR="009006F4">
        <w:t>s</w:t>
      </w:r>
      <w:r>
        <w:t xml:space="preserve"> </w:t>
      </w:r>
      <w:r w:rsidR="009006F4">
        <w:t>of</w:t>
      </w:r>
      <w:r>
        <w:t xml:space="preserve"> these products </w:t>
      </w:r>
      <w:r w:rsidR="009006F4">
        <w:t>account for about</w:t>
      </w:r>
      <w:r>
        <w:t xml:space="preserve"> 63</w:t>
      </w:r>
      <w:r w:rsidR="009006F4">
        <w:t> </w:t>
      </w:r>
      <w:r>
        <w:t xml:space="preserve">% of the </w:t>
      </w:r>
      <w:r w:rsidR="009006F4">
        <w:t>global revenues</w:t>
      </w:r>
      <w:r>
        <w:t xml:space="preserve"> for Private Cloud products (which include </w:t>
      </w:r>
      <w:r>
        <w:rPr>
          <w:i/>
          <w:iCs/>
        </w:rPr>
        <w:t>Baremetal</w:t>
      </w:r>
      <w:r>
        <w:t xml:space="preserve"> and </w:t>
      </w:r>
      <w:r>
        <w:rPr>
          <w:i/>
          <w:iCs/>
        </w:rPr>
        <w:t>Hosted Private Cloud</w:t>
      </w:r>
      <w:r>
        <w:t>), 18</w:t>
      </w:r>
      <w:r w:rsidR="009006F4">
        <w:t> </w:t>
      </w:r>
      <w:r>
        <w:t>% for Public Cloud products and 19</w:t>
      </w:r>
      <w:r w:rsidR="009006F4">
        <w:t> </w:t>
      </w:r>
      <w:r>
        <w:t>% for Webcloud and other products.</w:t>
      </w:r>
    </w:p>
    <w:p w14:paraId="1781A9BB" w14:textId="46E2C6AC" w:rsidR="00DB4D57" w:rsidRDefault="005E2CF2">
      <w:r>
        <w:t xml:space="preserve">The Environmental Impact Tracker includes the </w:t>
      </w:r>
      <w:r w:rsidR="009006F4">
        <w:t>precise</w:t>
      </w:r>
      <w:r>
        <w:t xml:space="preserve"> calculation of </w:t>
      </w:r>
      <w:r w:rsidR="009006F4">
        <w:t xml:space="preserve">the </w:t>
      </w:r>
      <w:r>
        <w:t xml:space="preserve">emissions related to </w:t>
      </w:r>
      <w:r w:rsidR="009006F4">
        <w:t>these</w:t>
      </w:r>
      <w:r>
        <w:t xml:space="preserve"> product</w:t>
      </w:r>
      <w:r w:rsidR="009006F4">
        <w:t>s</w:t>
      </w:r>
      <w:r>
        <w:t xml:space="preserve"> all </w:t>
      </w:r>
      <w:r w:rsidR="009006F4">
        <w:t>the locations</w:t>
      </w:r>
      <w:r>
        <w:t xml:space="preserve"> (</w:t>
      </w:r>
      <w:r w:rsidR="009006F4">
        <w:t>excluding</w:t>
      </w:r>
      <w:r>
        <w:t xml:space="preserve"> the USA).</w:t>
      </w:r>
    </w:p>
    <w:p w14:paraId="64592A52" w14:textId="04EC8197" w:rsidR="00DB4D57" w:rsidRDefault="00000000">
      <w:pPr>
        <w:pStyle w:val="Citationintense"/>
      </w:pPr>
      <w:r>
        <w:t xml:space="preserve">The OVHcloud </w:t>
      </w:r>
      <w:r w:rsidR="005E2CF2">
        <w:t xml:space="preserve">Environmental Impact Tracker </w:t>
      </w:r>
      <w:r w:rsidR="009006F4">
        <w:t>includes</w:t>
      </w:r>
      <w:r>
        <w:t xml:space="preserve"> the </w:t>
      </w:r>
      <w:r w:rsidR="009006F4">
        <w:t>major products</w:t>
      </w:r>
      <w:r>
        <w:t xml:space="preserve"> across Bare Metal, Hosted Private Cloud, Public Cloud and web hosting. It also </w:t>
      </w:r>
      <w:r w:rsidR="009006F4">
        <w:t>includes</w:t>
      </w:r>
      <w:r>
        <w:t xml:space="preserve"> most of its locations.</w:t>
      </w:r>
    </w:p>
    <w:p w14:paraId="4BB97F41" w14:textId="434BDC76" w:rsidR="00DB4D57" w:rsidRDefault="00C90089">
      <w:pPr>
        <w:pStyle w:val="Titre2"/>
      </w:pPr>
      <w:bookmarkStart w:id="7" w:name="_Toc202948805"/>
      <w:r>
        <w:lastRenderedPageBreak/>
        <w:t>General approach for calculating environmental footprint</w:t>
      </w:r>
      <w:bookmarkEnd w:id="7"/>
      <w:r>
        <w:t xml:space="preserve"> </w:t>
      </w:r>
    </w:p>
    <w:p w14:paraId="6F2E19EC" w14:textId="3EC0F8F3" w:rsidR="00C90089" w:rsidRPr="00541685" w:rsidRDefault="00C90089" w:rsidP="00C90089">
      <w:pPr>
        <w:rPr>
          <w:lang w:val="en"/>
        </w:rPr>
      </w:pPr>
      <w:r w:rsidRPr="00541685">
        <w:rPr>
          <w:lang w:val="en"/>
        </w:rPr>
        <w:t xml:space="preserve">Developing a model to assess the environmental impacts of products and manage their allocation to each customer requires being able to evaluate the </w:t>
      </w:r>
      <w:r>
        <w:rPr>
          <w:lang w:val="en"/>
        </w:rPr>
        <w:t>environmental</w:t>
      </w:r>
      <w:r w:rsidRPr="00541685">
        <w:rPr>
          <w:lang w:val="en"/>
        </w:rPr>
        <w:t xml:space="preserve"> footprint of each server installed in OVHcloud’s data centers that is used for the operation of customer services. In the calculation model developed by OVHcloud and presented in this paper, the estimation of the servers-related carbon emissions is a key enabler for the rest of the process, including spreading the emissions over the different services used by the customers, in accordance with the configuration and the location of the servers.</w:t>
      </w:r>
    </w:p>
    <w:p w14:paraId="749DABE3" w14:textId="56E7C1E9" w:rsidR="00DB4D57" w:rsidRDefault="004340DE">
      <w:pPr>
        <w:rPr>
          <w:lang w:val="en"/>
        </w:rPr>
      </w:pPr>
      <w:r>
        <w:rPr>
          <w:noProof/>
        </w:rPr>
        <mc:AlternateContent>
          <mc:Choice Requires="wps">
            <w:drawing>
              <wp:anchor distT="0" distB="0" distL="114300" distR="114300" simplePos="0" relativeHeight="251703296" behindDoc="0" locked="0" layoutInCell="1" allowOverlap="1" wp14:anchorId="70F0DCB4" wp14:editId="75515297">
                <wp:simplePos x="0" y="0"/>
                <wp:positionH relativeFrom="margin">
                  <wp:align>center</wp:align>
                </wp:positionH>
                <wp:positionV relativeFrom="paragraph">
                  <wp:posOffset>4765040</wp:posOffset>
                </wp:positionV>
                <wp:extent cx="5130800" cy="635"/>
                <wp:effectExtent l="0" t="0" r="0" b="0"/>
                <wp:wrapTopAndBottom/>
                <wp:docPr id="586672185" name="Zone de texte 1"/>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67A42962" w14:textId="1707B708" w:rsidR="004340DE" w:rsidRPr="00697435" w:rsidRDefault="004340DE" w:rsidP="004340DE">
                            <w:pPr>
                              <w:pStyle w:val="Lgende"/>
                              <w:rPr>
                                <w:rFonts w:cstheme="majorHAnsi"/>
                                <w:lang w:val="en"/>
                              </w:rPr>
                            </w:pPr>
                            <w:bookmarkStart w:id="8" w:name="_Ref200545920"/>
                            <w:bookmarkStart w:id="9" w:name="_Toc202948837"/>
                            <w:r>
                              <w:t xml:space="preserve">Figure </w:t>
                            </w:r>
                            <w:fldSimple w:instr=" SEQ Figure \* ARABIC ">
                              <w:r w:rsidR="00AB593C">
                                <w:rPr>
                                  <w:noProof/>
                                </w:rPr>
                                <w:t>2</w:t>
                              </w:r>
                            </w:fldSimple>
                            <w:bookmarkEnd w:id="8"/>
                            <w:r>
                              <w:t xml:space="preserve"> - Diagram of the global approach chosen for environmental footprint assessment (source: OVHcloud</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0DCB4" id="_x0000_s1029" type="#_x0000_t202" style="position:absolute;left:0;text-align:left;margin-left:0;margin-top:375.2pt;width:404pt;height:.05pt;z-index:251703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" stroked="f">
                <v:textbox style="mso-fit-shape-to-text:t" inset="0,0,0,0">
                  <w:txbxContent>
                    <w:p w14:paraId="67A42962" w14:textId="1707B708" w:rsidR="004340DE" w:rsidRPr="00697435" w:rsidRDefault="004340DE" w:rsidP="004340DE">
                      <w:pPr>
                        <w:pStyle w:val="Lgende"/>
                        <w:rPr>
                          <w:rFonts w:cstheme="majorHAnsi"/>
                          <w:lang w:val="en"/>
                        </w:rPr>
                      </w:pPr>
                      <w:bookmarkStart w:id="56" w:name="_Ref200545920"/>
                      <w:bookmarkStart w:id="57" w:name="_Toc202948837"/>
                      <w:r>
                        <w:t xml:space="preserve">Figure </w:t>
                      </w:r>
                      <w:fldSimple w:instr=" SEQ Figure \* ARABIC ">
                        <w:r w:rsidR="00AB593C">
                          <w:rPr>
                            <w:noProof/>
                          </w:rPr>
                          <w:t>2</w:t>
                        </w:r>
                      </w:fldSimple>
                      <w:bookmarkEnd w:id="56"/>
                      <w:r>
                        <w:t xml:space="preserve"> - Diagram of the global approach chosen for environmental footprint assessment (source: OVHcloud</w:t>
                      </w:r>
                      <w:bookmarkEnd w:id="57"/>
                    </w:p>
                  </w:txbxContent>
                </v:textbox>
                <w10:wrap type="topAndBottom" anchorx="margin"/>
              </v:shape>
            </w:pict>
          </mc:Fallback>
        </mc:AlternateContent>
      </w:r>
      <w:r w:rsidR="00C90089" w:rsidRPr="00C90089">
        <w:rPr>
          <w:lang w:val="en"/>
        </w:rPr>
        <w:t xml:space="preserve"> </w:t>
      </w:r>
      <w:r w:rsidR="00C90089" w:rsidRPr="00541685">
        <w:rPr>
          <w:lang w:val="en"/>
        </w:rPr>
        <w:t xml:space="preserve">GHG emission calculation is made at the server level and includes all the materials, teams and activities required for operating the building and managing the servers. Furthermore, as it is explained in the sections </w:t>
      </w:r>
      <w:r w:rsidR="00C90089" w:rsidRPr="00541685">
        <w:rPr>
          <w:lang w:val="en"/>
        </w:rPr>
        <w:fldChar w:fldCharType="begin"/>
      </w:r>
      <w:r w:rsidR="00C90089" w:rsidRPr="00541685">
        <w:rPr>
          <w:lang w:val="en"/>
        </w:rPr>
        <w:instrText xml:space="preserve"> REF _Ref102645984 \p \h </w:instrText>
      </w:r>
      <w:r w:rsidR="00C90089">
        <w:rPr>
          <w:lang w:val="en"/>
        </w:rPr>
        <w:instrText xml:space="preserve"> \* MERGEFORMAT </w:instrText>
      </w:r>
      <w:r w:rsidR="00C90089" w:rsidRPr="00541685">
        <w:rPr>
          <w:lang w:val="en"/>
        </w:rPr>
      </w:r>
      <w:r w:rsidR="00C90089" w:rsidRPr="00541685">
        <w:rPr>
          <w:lang w:val="en"/>
        </w:rPr>
        <w:fldChar w:fldCharType="separate"/>
      </w:r>
      <w:r w:rsidR="00C90089" w:rsidRPr="00541685">
        <w:rPr>
          <w:lang w:val="en"/>
        </w:rPr>
        <w:t>below</w:t>
      </w:r>
      <w:r w:rsidR="00C90089" w:rsidRPr="00541685">
        <w:rPr>
          <w:lang w:val="en"/>
        </w:rPr>
        <w:fldChar w:fldCharType="end"/>
      </w:r>
      <w:r w:rsidR="00C90089" w:rsidRPr="00541685">
        <w:rPr>
          <w:lang w:val="en"/>
        </w:rPr>
        <w:t xml:space="preserve">, the methodology differentiates two different types of products: dedicated services and mutualized ones (more precisions are given in </w:t>
      </w:r>
      <w:r w:rsidR="00C90089" w:rsidRPr="00541685">
        <w:t>the sections</w:t>
      </w:r>
      <w:r w:rsidR="00C90089">
        <w:t xml:space="preserve"> “</w:t>
      </w:r>
      <w:r w:rsidR="00C90089">
        <w:fldChar w:fldCharType="begin"/>
      </w:r>
      <w:r w:rsidR="00C90089">
        <w:instrText xml:space="preserve"> REF _Ref199947036 \h </w:instrText>
      </w:r>
      <w:r w:rsidR="00C90089">
        <w:fldChar w:fldCharType="separate"/>
      </w:r>
      <w:r w:rsidR="00C90089">
        <w:t>Method for allocating environmental footprint</w:t>
      </w:r>
      <w:r w:rsidR="00C90089">
        <w:fldChar w:fldCharType="end"/>
      </w:r>
      <w:r w:rsidR="00C90089">
        <w:t>”</w:t>
      </w:r>
      <w:r w:rsidR="00C90089" w:rsidRPr="00541685">
        <w:rPr>
          <w:lang w:val="en"/>
        </w:rPr>
        <w:t>). The global approach explained and specified in this paper is summarized in</w:t>
      </w:r>
      <w:r>
        <w:rPr>
          <w:lang w:val="en"/>
        </w:rPr>
        <w:t xml:space="preserve"> </w:t>
      </w:r>
      <w:r>
        <w:rPr>
          <w:lang w:val="en"/>
        </w:rPr>
        <w:fldChar w:fldCharType="begin"/>
      </w:r>
      <w:r>
        <w:rPr>
          <w:lang w:val="en"/>
        </w:rPr>
        <w:instrText xml:space="preserve"> REF _Ref200545920 \h </w:instrText>
      </w:r>
      <w:r>
        <w:rPr>
          <w:lang w:val="en"/>
        </w:rPr>
      </w:r>
      <w:r>
        <w:rPr>
          <w:lang w:val="en"/>
        </w:rPr>
        <w:fldChar w:fldCharType="separate"/>
      </w:r>
      <w:r>
        <w:t xml:space="preserve">Figure </w:t>
      </w:r>
      <w:r>
        <w:rPr>
          <w:noProof/>
        </w:rPr>
        <w:t>2</w:t>
      </w:r>
      <w:r>
        <w:rPr>
          <w:lang w:val="en"/>
        </w:rPr>
        <w:fldChar w:fldCharType="end"/>
      </w:r>
      <w:r w:rsidR="00C90089" w:rsidRPr="00541685">
        <w:rPr>
          <w:lang w:val="en"/>
        </w:rPr>
        <w:t>.</w:t>
      </w:r>
    </w:p>
    <w:p w14:paraId="3E2919C5" w14:textId="6CCE41A0" w:rsidR="004340DE" w:rsidRPr="00541685" w:rsidRDefault="004340DE" w:rsidP="004340DE">
      <w:r w:rsidRPr="004340DE">
        <w:rPr>
          <w:noProof/>
          <w:lang w:val="en"/>
        </w:rPr>
        <w:drawing>
          <wp:anchor distT="0" distB="0" distL="114300" distR="114300" simplePos="0" relativeHeight="251701248" behindDoc="0" locked="0" layoutInCell="1" allowOverlap="1" wp14:anchorId="0295C8DE" wp14:editId="1B1668DD">
            <wp:simplePos x="0" y="0"/>
            <wp:positionH relativeFrom="margin">
              <wp:align>center</wp:align>
            </wp:positionH>
            <wp:positionV relativeFrom="paragraph">
              <wp:posOffset>0</wp:posOffset>
            </wp:positionV>
            <wp:extent cx="4348753" cy="3600000"/>
            <wp:effectExtent l="0" t="0" r="0" b="0"/>
            <wp:wrapTopAndBottom/>
            <wp:docPr id="471585455"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5455" name="Image 1" descr="Une image contenant texte, capture d’écran, diagramme, Polic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4348753" cy="3600000"/>
                    </a:xfrm>
                    <a:prstGeom prst="rect">
                      <a:avLst/>
                    </a:prstGeom>
                  </pic:spPr>
                </pic:pic>
              </a:graphicData>
            </a:graphic>
            <wp14:sizeRelH relativeFrom="page">
              <wp14:pctWidth>0</wp14:pctWidth>
            </wp14:sizeRelH>
            <wp14:sizeRelV relativeFrom="page">
              <wp14:pctHeight>0</wp14:pctHeight>
            </wp14:sizeRelV>
          </wp:anchor>
        </w:drawing>
      </w:r>
      <w:r w:rsidRPr="00541685">
        <w:t xml:space="preserve">The three pillars (Manufacturing, </w:t>
      </w:r>
      <w:r w:rsidR="005E2CF2">
        <w:t>Usage</w:t>
      </w:r>
      <w:r w:rsidR="005E2CF2" w:rsidRPr="00541685">
        <w:t xml:space="preserve"> </w:t>
      </w:r>
      <w:r w:rsidRPr="00541685">
        <w:t xml:space="preserve">and Operations) of OVHcloud </w:t>
      </w:r>
      <w:r w:rsidR="00552488">
        <w:t>Environmental Impact Tracker</w:t>
      </w:r>
      <w:r w:rsidRPr="00541685">
        <w:t xml:space="preserve"> model also reflect three different approaches to calculate carbon footprints. One is due to on-site activities of manufacturing which require various materials; the second is directly linked to the location of OVHcloud’s buildings, the available energy sources and OVHcloud’s efforts towards the use of low-carbon energy; and the last one gathers a large range of emission sources to allocate to each customer. This section aims at providing key elements on the three approaches developed by OVHcloud to assess customer related </w:t>
      </w:r>
      <w:r>
        <w:t>environmental</w:t>
      </w:r>
      <w:r w:rsidRPr="00541685">
        <w:t xml:space="preserve"> footprint.</w:t>
      </w:r>
    </w:p>
    <w:p w14:paraId="39DE79CC" w14:textId="207A27C0" w:rsidR="00DB4D57" w:rsidRDefault="00000000" w:rsidP="004340DE">
      <w:pPr>
        <w:pStyle w:val="Citationintense"/>
      </w:pPr>
      <w:r>
        <w:t xml:space="preserve">To assess customers’ environmental footprint, OVHcloud calculates the infrastructure footprint across the three pillars (Manufacturing, Usage and Operations) and allocates it according to product type (dedicated or </w:t>
      </w:r>
      <w:r w:rsidR="004340DE">
        <w:t>mutualized</w:t>
      </w:r>
      <w:r>
        <w:t>)</w:t>
      </w:r>
    </w:p>
    <w:p w14:paraId="26F34D52" w14:textId="5E381D0C" w:rsidR="00DB4D57" w:rsidRDefault="002A1085">
      <w:pPr>
        <w:pStyle w:val="Titre1"/>
      </w:pPr>
      <w:bookmarkStart w:id="10" w:name="_Ref190355431"/>
      <w:bookmarkStart w:id="11" w:name="_Ref190355459"/>
      <w:bookmarkStart w:id="12" w:name="_Toc202948806"/>
      <w:r>
        <w:lastRenderedPageBreak/>
        <w:t>Approach used for calculation of the environmental footprint by server according to the life cycle stage</w:t>
      </w:r>
      <w:bookmarkEnd w:id="10"/>
      <w:bookmarkEnd w:id="11"/>
      <w:bookmarkEnd w:id="12"/>
    </w:p>
    <w:p w14:paraId="5EE9FDD5" w14:textId="77777777" w:rsidR="00DB4D57" w:rsidRDefault="00000000">
      <w:pPr>
        <w:pStyle w:val="Titre2"/>
      </w:pPr>
      <w:bookmarkStart w:id="13" w:name="_Toc202948807"/>
      <w:r>
        <w:t>Manufacturing phase</w:t>
      </w:r>
      <w:bookmarkEnd w:id="13"/>
    </w:p>
    <w:p w14:paraId="54C688C7" w14:textId="6A2B02A3" w:rsidR="002A1085" w:rsidRPr="00541685" w:rsidRDefault="002A1085" w:rsidP="002A1085">
      <w:r w:rsidRPr="00541685">
        <w:t xml:space="preserve">As it represents </w:t>
      </w:r>
      <w:r>
        <w:t>27 </w:t>
      </w:r>
      <w:r w:rsidRPr="00541685">
        <w:t>%</w:t>
      </w:r>
      <w:r>
        <w:t xml:space="preserve"> (in 2024)</w:t>
      </w:r>
      <w:r w:rsidRPr="00541685">
        <w:t xml:space="preserve"> of the global carbon assessment of the company, the manufacturing of the servers </w:t>
      </w:r>
      <w:r>
        <w:t xml:space="preserve">(including upstream emissions of the hardware manufacturing) </w:t>
      </w:r>
      <w:r w:rsidRPr="00541685">
        <w:t xml:space="preserve">used in OVHcloud data centers is central in the calculation of the </w:t>
      </w:r>
      <w:r>
        <w:t>environmental impact</w:t>
      </w:r>
      <w:r w:rsidRPr="00541685">
        <w:t xml:space="preserve"> for the services provided to customers. OVHcloud assembles all of the servers we use and their cooling system, with various configurations. The wide range of configurations, designed for the different use cases of the customers, requires a strong methodology to be able to evaluate the </w:t>
      </w:r>
      <w:r>
        <w:t>environmental</w:t>
      </w:r>
      <w:r w:rsidRPr="00541685">
        <w:t xml:space="preserve"> footprint of every server used in each data center. </w:t>
      </w:r>
    </w:p>
    <w:p w14:paraId="4AB88DF4" w14:textId="77777777" w:rsidR="002A1085" w:rsidRPr="00541685" w:rsidRDefault="00000000" w:rsidP="002A1085">
      <w:r>
        <w:t xml:space="preserve">For several years, </w:t>
      </w:r>
      <w:r w:rsidR="002A1085" w:rsidRPr="00541685">
        <w:t>OVHcloud has indeed implemented high standards to assemble and disassemble servers. Therefore, components have different use phases</w:t>
      </w:r>
      <w:r>
        <w:t xml:space="preserve">, limiting the purchase of new components. </w:t>
      </w:r>
      <w:bookmarkStart w:id="14" w:name="_Ref188366557"/>
      <w:r w:rsidR="002A1085" w:rsidRPr="00541685">
        <w:t>This integrated model enables OVHcloud to provide price competitive services with a high level of reliability while minimizing the associated environmental impacts.</w:t>
      </w:r>
    </w:p>
    <w:p w14:paraId="704BCF68" w14:textId="2C0CB4C3" w:rsidR="00DB4D57" w:rsidRDefault="00000000" w:rsidP="002A1085">
      <w:pPr>
        <w:pStyle w:val="Titre3"/>
      </w:pPr>
      <w:bookmarkStart w:id="15" w:name="_Toc202948808"/>
      <w:r>
        <w:t>Calculating a server’s environmental footprint</w:t>
      </w:r>
      <w:bookmarkEnd w:id="14"/>
      <w:bookmarkEnd w:id="15"/>
    </w:p>
    <w:p w14:paraId="1BC9169F" w14:textId="43B8C5DE" w:rsidR="002A1085" w:rsidRPr="00541685" w:rsidRDefault="00FE7AEB" w:rsidP="002A1085">
      <w:r>
        <w:rPr>
          <w:noProof/>
        </w:rPr>
        <mc:AlternateContent>
          <mc:Choice Requires="wps">
            <w:drawing>
              <wp:anchor distT="0" distB="0" distL="114300" distR="114300" simplePos="0" relativeHeight="251707392" behindDoc="0" locked="0" layoutInCell="1" allowOverlap="1" wp14:anchorId="7C6D0D56" wp14:editId="791EC98C">
                <wp:simplePos x="0" y="0"/>
                <wp:positionH relativeFrom="column">
                  <wp:posOffset>775970</wp:posOffset>
                </wp:positionH>
                <wp:positionV relativeFrom="paragraph">
                  <wp:posOffset>4803140</wp:posOffset>
                </wp:positionV>
                <wp:extent cx="5093970" cy="635"/>
                <wp:effectExtent l="0" t="0" r="0" b="12065"/>
                <wp:wrapTopAndBottom/>
                <wp:docPr id="2028775317" name="Zone de texte 1"/>
                <wp:cNvGraphicFramePr/>
                <a:graphic xmlns:a="http://schemas.openxmlformats.org/drawingml/2006/main">
                  <a:graphicData uri="http://schemas.microsoft.com/office/word/2010/wordprocessingShape">
                    <wps:wsp>
                      <wps:cNvSpPr txBox="1"/>
                      <wps:spPr>
                        <a:xfrm>
                          <a:off x="0" y="0"/>
                          <a:ext cx="5093970" cy="635"/>
                        </a:xfrm>
                        <a:prstGeom prst="rect">
                          <a:avLst/>
                        </a:prstGeom>
                        <a:solidFill>
                          <a:prstClr val="white"/>
                        </a:solidFill>
                        <a:ln>
                          <a:noFill/>
                        </a:ln>
                      </wps:spPr>
                      <wps:txbx>
                        <w:txbxContent>
                          <w:p w14:paraId="5CB46A72" w14:textId="7BF779D9" w:rsidR="00FE7AEB" w:rsidRPr="00806E5A" w:rsidRDefault="00FE7AEB" w:rsidP="00FE7AEB">
                            <w:pPr>
                              <w:pStyle w:val="Lgende"/>
                              <w:rPr>
                                <w:rFonts w:cstheme="majorHAnsi"/>
                                <w:noProof/>
                              </w:rPr>
                            </w:pPr>
                            <w:bookmarkStart w:id="16" w:name="_Ref200548258"/>
                            <w:bookmarkStart w:id="17" w:name="_Toc202948838"/>
                            <w:r>
                              <w:t xml:space="preserve">Figure </w:t>
                            </w:r>
                            <w:fldSimple w:instr=" SEQ Figure \* ARABIC ">
                              <w:r w:rsidR="00AB593C">
                                <w:rPr>
                                  <w:noProof/>
                                </w:rPr>
                                <w:t>3</w:t>
                              </w:r>
                            </w:fldSimple>
                            <w:bookmarkEnd w:id="16"/>
                            <w:r>
                              <w:t xml:space="preserve"> </w:t>
                            </w:r>
                            <w:bookmarkStart w:id="18" w:name="_Ref200548251"/>
                            <w:r>
                              <w:t>- Explaining picture of the composition of the OVHcloud server</w:t>
                            </w:r>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6D0D56" id="_x0000_s1030" type="#_x0000_t202" style="position:absolute;left:0;text-align:left;margin-left:61.1pt;margin-top:378.2pt;width:401.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" stroked="f">
                <v:textbox style="mso-fit-shape-to-text:t" inset="0,0,0,0">
                  <w:txbxContent>
                    <w:p w14:paraId="5CB46A72" w14:textId="7BF779D9" w:rsidR="00FE7AEB" w:rsidRPr="00806E5A" w:rsidRDefault="00FE7AEB" w:rsidP="00FE7AEB">
                      <w:pPr>
                        <w:pStyle w:val="Lgende"/>
                        <w:rPr>
                          <w:rFonts w:cstheme="majorHAnsi"/>
                          <w:noProof/>
                        </w:rPr>
                      </w:pPr>
                      <w:bookmarkStart w:id="71" w:name="_Ref200548258"/>
                      <w:bookmarkStart w:id="72" w:name="_Toc202948838"/>
                      <w:r>
                        <w:t xml:space="preserve">Figure </w:t>
                      </w:r>
                      <w:fldSimple w:instr=" SEQ Figure \* ARABIC ">
                        <w:r w:rsidR="00AB593C">
                          <w:rPr>
                            <w:noProof/>
                          </w:rPr>
                          <w:t>3</w:t>
                        </w:r>
                      </w:fldSimple>
                      <w:bookmarkEnd w:id="71"/>
                      <w:r>
                        <w:t xml:space="preserve"> </w:t>
                      </w:r>
                      <w:bookmarkStart w:id="73" w:name="_Ref200548251"/>
                      <w:r>
                        <w:t>- Explaining picture of the composition of the OVHcloud server</w:t>
                      </w:r>
                      <w:bookmarkEnd w:id="72"/>
                      <w:bookmarkEnd w:id="73"/>
                    </w:p>
                  </w:txbxContent>
                </v:textbox>
                <w10:wrap type="topAndBottom"/>
              </v:shape>
            </w:pict>
          </mc:Fallback>
        </mc:AlternateContent>
      </w:r>
      <w:r w:rsidRPr="00541685">
        <w:rPr>
          <w:noProof/>
        </w:rPr>
        <w:drawing>
          <wp:anchor distT="0" distB="0" distL="114300" distR="114300" simplePos="0" relativeHeight="251705344" behindDoc="0" locked="0" layoutInCell="1" allowOverlap="1" wp14:anchorId="66AE0F33" wp14:editId="18429755">
            <wp:simplePos x="0" y="0"/>
            <wp:positionH relativeFrom="margin">
              <wp:align>center</wp:align>
            </wp:positionH>
            <wp:positionV relativeFrom="paragraph">
              <wp:posOffset>1146175</wp:posOffset>
            </wp:positionV>
            <wp:extent cx="5094338" cy="3600000"/>
            <wp:effectExtent l="0" t="0" r="0" b="0"/>
            <wp:wrapTopAndBottom/>
            <wp:docPr id="8" name="Image 8" descr="Une image contenant Appareils électroniques, Composant électronique, Composant de circuit, Ingénierie électro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Appareils électroniques, Composant électronique, Composant de circuit, Ingénierie électroniqu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94338"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085" w:rsidRPr="00541685">
        <w:t>The carbon impact of producing a server predominantly comes from the manufacturing of a few main types of components such as CPU, GPU, RAM, HDD/SDD, motherboard and power supply</w:t>
      </w:r>
      <w:r w:rsidR="002A1085">
        <w:t xml:space="preserve"> (</w:t>
      </w:r>
      <w:r>
        <w:fldChar w:fldCharType="begin"/>
      </w:r>
      <w:r>
        <w:instrText xml:space="preserve"> REF _Ref200548251 \h </w:instrText>
      </w:r>
      <w:r>
        <w:fldChar w:fldCharType="separate"/>
      </w:r>
      <w:r>
        <w:fldChar w:fldCharType="end"/>
      </w:r>
      <w:r>
        <w:fldChar w:fldCharType="begin"/>
      </w:r>
      <w:r>
        <w:instrText xml:space="preserve"> REF _Ref200548258 \h </w:instrText>
      </w:r>
      <w:r>
        <w:fldChar w:fldCharType="separate"/>
      </w:r>
      <w:r>
        <w:t xml:space="preserve">Figure </w:t>
      </w:r>
      <w:r>
        <w:rPr>
          <w:noProof/>
        </w:rPr>
        <w:t>3</w:t>
      </w:r>
      <w:r>
        <w:fldChar w:fldCharType="end"/>
      </w:r>
      <w:r w:rsidR="002A1085">
        <w:t>)</w:t>
      </w:r>
      <w:r w:rsidR="002A1085" w:rsidRPr="00541685">
        <w:t>. Therefore, it was important to develop a model that reflect the real impacts and therefore that is based on the physical configuration of the machine. As OVHcloud assemble every server, the model has to be fed by reliable and regularly updated data.</w:t>
      </w:r>
    </w:p>
    <w:p w14:paraId="2760B07C" w14:textId="0A8B740C" w:rsidR="00DB4D57" w:rsidRDefault="00DB4D57"/>
    <w:p w14:paraId="52BF5C11" w14:textId="4DB45EFC" w:rsidR="00E11429" w:rsidRDefault="00E11429" w:rsidP="0061751A"/>
    <w:p w14:paraId="7D42AEC4" w14:textId="18A15248" w:rsidR="00DB4D57" w:rsidRDefault="00000000">
      <w:r>
        <w:lastRenderedPageBreak/>
        <w:t xml:space="preserve">A calculation model based on the configuration of a server has been developed to assess the environmental footprint of </w:t>
      </w:r>
      <w:r w:rsidR="00FE7AEB">
        <w:t xml:space="preserve"> every </w:t>
      </w:r>
      <w:r>
        <w:t xml:space="preserve">physical </w:t>
      </w:r>
      <w:r w:rsidR="00FE7AEB">
        <w:t>host</w:t>
      </w:r>
      <w:r>
        <w:t xml:space="preserve"> (</w:t>
      </w:r>
      <w:r w:rsidR="00AE4AC1">
        <w:rPr>
          <w:highlight w:val="yellow"/>
        </w:rPr>
        <w:fldChar w:fldCharType="begin"/>
      </w:r>
      <w:r w:rsidR="00AE4AC1">
        <w:instrText xml:space="preserve"> REF _Ref188365069 \h </w:instrText>
      </w:r>
      <w:r w:rsidR="00AE4AC1">
        <w:rPr>
          <w:highlight w:val="yellow"/>
        </w:rPr>
      </w:r>
      <w:r w:rsidR="00AE4AC1">
        <w:rPr>
          <w:highlight w:val="yellow"/>
        </w:rPr>
        <w:fldChar w:fldCharType="separate"/>
      </w:r>
      <w:r>
        <w:t xml:space="preserve">Equation </w:t>
      </w:r>
      <w:r>
        <w:rPr>
          <w:noProof/>
        </w:rPr>
        <w:t>1</w:t>
      </w:r>
      <w:r w:rsidR="00AE4AC1">
        <w:rPr>
          <w:highlight w:val="yellow"/>
        </w:rPr>
        <w:fldChar w:fldCharType="end"/>
      </w:r>
      <w:r>
        <w:t xml:space="preserve">). </w:t>
      </w:r>
    </w:p>
    <w:p w14:paraId="02379FE6" w14:textId="77777777" w:rsidR="00DB4D57" w:rsidRDefault="00000000">
      <w:pPr>
        <w:pStyle w:val="Lgende"/>
      </w:pPr>
      <w:bookmarkStart w:id="19" w:name="_Ref188365069"/>
      <w:bookmarkStart w:id="20" w:name="_Toc202948848"/>
      <w:r>
        <w:t xml:space="preserve">Equation </w:t>
      </w:r>
      <w:fldSimple w:instr=" SEQ Équation \* ARABIC ">
        <w:r w:rsidR="00DB4D57">
          <w:rPr>
            <w:noProof/>
          </w:rPr>
          <w:t>1</w:t>
        </w:r>
      </w:fldSimple>
      <w:bookmarkEnd w:id="19"/>
      <w:r>
        <w:t xml:space="preserve"> - Calculation of the environmental footprint of server manufacturing (excluding refurbishment)</w:t>
      </w:r>
      <w:bookmarkEnd w:id="20"/>
    </w:p>
    <w:p w14:paraId="4BBAEF0F" w14:textId="14872487" w:rsidR="00F57540" w:rsidRPr="00F4218F" w:rsidRDefault="00000000" w:rsidP="0061751A">
      <w:pPr>
        <w:rPr>
          <w:sz w:val="21"/>
          <w:szCs w:val="21"/>
        </w:rPr>
      </w:pPr>
      <m:oMathPara>
        <m:oMath>
          <m:sSub>
            <m:sSubPr>
              <m:ctrlPr>
                <w:rPr>
                  <w:rFonts w:ascii="Cambria Math" w:hAnsi="Cambria Math"/>
                  <w:sz w:val="21"/>
                  <w:szCs w:val="21"/>
                </w:rPr>
              </m:ctrlPr>
            </m:sSubPr>
            <m:e>
              <m:r>
                <w:rPr>
                  <w:rFonts w:ascii="Cambria Math" w:hAnsi="Cambria Math"/>
                  <w:sz w:val="21"/>
                  <w:szCs w:val="21"/>
                </w:rPr>
                <m:t>Fooprint</m:t>
              </m:r>
            </m:e>
            <m:sub>
              <m:r>
                <w:rPr>
                  <w:rFonts w:ascii="Cambria Math" w:hAnsi="Cambria Math"/>
                  <w:sz w:val="21"/>
                  <w:szCs w:val="21"/>
                </w:rPr>
                <m:t>manufacturing</m:t>
              </m:r>
            </m:sub>
          </m:sSub>
          <m:r>
            <m:rPr>
              <m:sty m:val="p"/>
            </m:rPr>
            <w:rPr>
              <w:rFonts w:ascii="Cambria Math" w:hAnsi="Cambria Math"/>
              <w:sz w:val="21"/>
              <w:szCs w:val="21"/>
            </w:rPr>
            <m:t xml:space="preserve">= </m:t>
          </m:r>
          <m:nary>
            <m:naryPr>
              <m:chr m:val="∑"/>
              <m:limLoc m:val="undOvr"/>
              <m:supHide m:val="1"/>
              <m:ctrlPr>
                <w:rPr>
                  <w:rFonts w:ascii="Cambria Math" w:hAnsi="Cambria Math"/>
                  <w:sz w:val="21"/>
                  <w:szCs w:val="21"/>
                </w:rPr>
              </m:ctrlPr>
            </m:naryPr>
            <m:sub>
              <m:r>
                <w:rPr>
                  <w:rFonts w:ascii="Cambria Math" w:hAnsi="Cambria Math"/>
                  <w:sz w:val="21"/>
                  <w:szCs w:val="21"/>
                </w:rPr>
                <m:t>components</m:t>
              </m:r>
            </m:sub>
            <m:sup/>
            <m:e>
              <m:sSub>
                <m:sSubPr>
                  <m:ctrlPr>
                    <w:rPr>
                      <w:rFonts w:ascii="Cambria Math" w:hAnsi="Cambria Math"/>
                      <w:sz w:val="21"/>
                      <w:szCs w:val="21"/>
                    </w:rPr>
                  </m:ctrlPr>
                </m:sSubPr>
                <m:e>
                  <m:r>
                    <w:rPr>
                      <w:rFonts w:ascii="Cambria Math" w:hAnsi="Cambria Math"/>
                      <w:sz w:val="21"/>
                      <w:szCs w:val="21"/>
                    </w:rPr>
                    <m:t>components</m:t>
                  </m:r>
                </m:e>
                <m:sub>
                  <m:r>
                    <w:rPr>
                      <w:rFonts w:ascii="Cambria Math" w:hAnsi="Cambria Math"/>
                      <w:sz w:val="21"/>
                      <w:szCs w:val="21"/>
                    </w:rPr>
                    <m:t>manufacturing</m:t>
                  </m:r>
                </m:sub>
              </m:sSub>
              <m:r>
                <m:rPr>
                  <m:sty m:val="p"/>
                </m:rPr>
                <w:rPr>
                  <w:rFonts w:ascii="Cambria Math" w:hAnsi="Cambria Math"/>
                  <w:sz w:val="21"/>
                  <w:szCs w:val="21"/>
                </w:rPr>
                <m:t xml:space="preserve"> </m:t>
              </m:r>
            </m:e>
          </m:nary>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Rack</m:t>
              </m:r>
              <m:r>
                <m:rPr>
                  <m:sty m:val="p"/>
                </m:rPr>
                <w:rPr>
                  <w:rFonts w:ascii="Cambria Math" w:hAnsi="Cambria Math"/>
                  <w:sz w:val="21"/>
                  <w:szCs w:val="21"/>
                </w:rPr>
                <m:t xml:space="preserve"> </m:t>
              </m:r>
            </m:e>
            <m:sub>
              <m:r>
                <w:rPr>
                  <w:rFonts w:ascii="Cambria Math" w:hAnsi="Cambria Math"/>
                  <w:sz w:val="21"/>
                  <w:szCs w:val="21"/>
                </w:rPr>
                <m:t>U</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Rack</m:t>
              </m:r>
              <m:r>
                <m:rPr>
                  <m:sty m:val="p"/>
                </m:rPr>
                <w:rPr>
                  <w:rFonts w:ascii="Cambria Math" w:hAnsi="Cambria Math"/>
                  <w:sz w:val="21"/>
                  <w:szCs w:val="21"/>
                </w:rPr>
                <m:t xml:space="preserve"> </m:t>
              </m:r>
            </m:e>
            <m:sub>
              <m:r>
                <w:rPr>
                  <w:rFonts w:ascii="Cambria Math" w:hAnsi="Cambria Math"/>
                  <w:sz w:val="21"/>
                  <w:szCs w:val="21"/>
                </w:rPr>
                <m:t>EF</m:t>
              </m:r>
              <m:r>
                <m:rPr>
                  <m:sty m:val="p"/>
                </m:rPr>
                <w:rPr>
                  <w:rFonts w:ascii="Cambria Math" w:hAnsi="Cambria Math"/>
                  <w:sz w:val="21"/>
                  <w:szCs w:val="21"/>
                </w:rPr>
                <m:t xml:space="preserve"> </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CPU</m:t>
              </m:r>
              <m:r>
                <m:rPr>
                  <m:sty m:val="p"/>
                </m:rPr>
                <w:rPr>
                  <w:rFonts w:ascii="Cambria Math" w:hAnsi="Cambria Math"/>
                  <w:sz w:val="21"/>
                  <w:szCs w:val="21"/>
                </w:rPr>
                <m:t xml:space="preserve"> </m:t>
              </m:r>
            </m:e>
            <m:sub>
              <m:r>
                <w:rPr>
                  <w:rFonts w:ascii="Cambria Math" w:hAnsi="Cambria Math"/>
                  <w:sz w:val="21"/>
                  <w:szCs w:val="21"/>
                </w:rPr>
                <m:t>physical cores</m:t>
              </m:r>
              <m:r>
                <m:rPr>
                  <m:sty m:val="p"/>
                </m:rPr>
                <w:rPr>
                  <w:rFonts w:ascii="Cambria Math" w:hAnsi="Cambria Math"/>
                  <w:sz w:val="21"/>
                  <w:szCs w:val="21"/>
                </w:rPr>
                <m:t xml:space="preserve"> </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CPU</m:t>
              </m:r>
            </m:e>
            <m:sub>
              <m:r>
                <w:rPr>
                  <w:rFonts w:ascii="Cambria Math" w:hAnsi="Cambria Math"/>
                  <w:sz w:val="21"/>
                  <w:szCs w:val="21"/>
                </w:rPr>
                <m:t>EF</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GPU</m:t>
              </m:r>
              <m:r>
                <m:rPr>
                  <m:sty m:val="p"/>
                </m:rPr>
                <w:rPr>
                  <w:rFonts w:ascii="Cambria Math" w:hAnsi="Cambria Math"/>
                  <w:sz w:val="21"/>
                  <w:szCs w:val="21"/>
                </w:rPr>
                <m:t xml:space="preserve"> </m:t>
              </m:r>
            </m:e>
            <m:sub>
              <m:r>
                <w:rPr>
                  <w:rFonts w:ascii="Cambria Math" w:hAnsi="Cambria Math"/>
                  <w:sz w:val="21"/>
                  <w:szCs w:val="21"/>
                </w:rPr>
                <m:t>sale reference</m:t>
              </m:r>
              <m:r>
                <m:rPr>
                  <m:sty m:val="p"/>
                </m:rPr>
                <w:rPr>
                  <w:rFonts w:ascii="Cambria Math" w:hAnsi="Cambria Math"/>
                  <w:sz w:val="21"/>
                  <w:szCs w:val="21"/>
                </w:rPr>
                <m:t xml:space="preserve"> </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GPU</m:t>
              </m:r>
            </m:e>
            <m:sub>
              <m:r>
                <w:rPr>
                  <w:rFonts w:ascii="Cambria Math" w:hAnsi="Cambria Math"/>
                  <w:sz w:val="21"/>
                  <w:szCs w:val="21"/>
                </w:rPr>
                <m:t>EF</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RAM</m:t>
              </m:r>
              <m:ctrlPr>
                <w:rPr>
                  <w:rFonts w:ascii="Cambria Math" w:eastAsia="Cambria Math" w:hAnsi="Cambria Math" w:cs="Cambria Math"/>
                  <w:sz w:val="21"/>
                  <w:szCs w:val="21"/>
                </w:rPr>
              </m:ctrlPr>
            </m:e>
            <m:sub>
              <m:r>
                <m:rPr>
                  <m:sty m:val="p"/>
                </m:rPr>
                <w:rPr>
                  <w:rFonts w:ascii="Cambria Math" w:hAnsi="Cambria Math"/>
                  <w:sz w:val="21"/>
                  <w:szCs w:val="21"/>
                </w:rPr>
                <m:t xml:space="preserve"> </m:t>
              </m:r>
              <m:r>
                <w:rPr>
                  <w:rFonts w:ascii="Cambria Math" w:hAnsi="Cambria Math"/>
                  <w:sz w:val="21"/>
                  <w:szCs w:val="21"/>
                </w:rPr>
                <m:t>Gigabyte</m:t>
              </m:r>
              <m:r>
                <m:rPr>
                  <m:sty m:val="p"/>
                </m:rPr>
                <w:rPr>
                  <w:rFonts w:ascii="Cambria Math" w:hAnsi="Cambria Math"/>
                  <w:sz w:val="21"/>
                  <w:szCs w:val="21"/>
                </w:rPr>
                <m:t xml:space="preserve"> </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RAM</m:t>
              </m:r>
            </m:e>
            <m:sub>
              <m:r>
                <w:rPr>
                  <w:rFonts w:ascii="Cambria Math" w:hAnsi="Cambria Math"/>
                  <w:sz w:val="21"/>
                  <w:szCs w:val="21"/>
                </w:rPr>
                <m:t>EF</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SSD</m:t>
              </m:r>
              <m:r>
                <m:rPr>
                  <m:sty m:val="p"/>
                </m:rPr>
                <w:rPr>
                  <w:rFonts w:ascii="Cambria Math" w:hAnsi="Cambria Math"/>
                  <w:sz w:val="21"/>
                  <w:szCs w:val="21"/>
                </w:rPr>
                <m:t xml:space="preserve"> </m:t>
              </m:r>
            </m:e>
            <m:sub>
              <m:r>
                <m:rPr>
                  <m:sty m:val="p"/>
                </m:rPr>
                <w:rPr>
                  <w:rFonts w:ascii="Cambria Math" w:hAnsi="Cambria Math"/>
                  <w:sz w:val="21"/>
                  <w:szCs w:val="21"/>
                </w:rPr>
                <m:t xml:space="preserve">Terabyte </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SSD</m:t>
              </m:r>
            </m:e>
            <m:sub>
              <m:r>
                <w:rPr>
                  <w:rFonts w:ascii="Cambria Math" w:hAnsi="Cambria Math"/>
                  <w:sz w:val="21"/>
                  <w:szCs w:val="21"/>
                </w:rPr>
                <m:t>EF</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HDD</m:t>
              </m:r>
              <m:r>
                <m:rPr>
                  <m:sty m:val="p"/>
                </m:rPr>
                <w:rPr>
                  <w:rFonts w:ascii="Cambria Math" w:hAnsi="Cambria Math"/>
                  <w:sz w:val="21"/>
                  <w:szCs w:val="21"/>
                </w:rPr>
                <m:t xml:space="preserve"> </m:t>
              </m:r>
            </m:e>
            <m:sub>
              <m:r>
                <m:rPr>
                  <m:sty m:val="p"/>
                </m:rPr>
                <w:rPr>
                  <w:rFonts w:ascii="Cambria Math" w:hAnsi="Cambria Math"/>
                  <w:sz w:val="21"/>
                  <w:szCs w:val="21"/>
                </w:rPr>
                <m:t xml:space="preserve">Terabyte </m:t>
              </m:r>
            </m:sub>
          </m:sSub>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HDD</m:t>
              </m:r>
            </m:e>
            <m:sub>
              <m:r>
                <w:rPr>
                  <w:rFonts w:ascii="Cambria Math" w:hAnsi="Cambria Math"/>
                  <w:sz w:val="21"/>
                  <w:szCs w:val="21"/>
                </w:rPr>
                <m:t>EF</m:t>
              </m:r>
            </m:sub>
          </m:sSub>
        </m:oMath>
      </m:oMathPara>
    </w:p>
    <w:p w14:paraId="3276AD9F" w14:textId="0C63DC8B" w:rsidR="00DB4D57" w:rsidRDefault="00000000">
      <w:pPr>
        <w:pStyle w:val="Explication"/>
        <w:rPr>
          <w:rStyle w:val="Accentuation"/>
          <w:i/>
          <w:iCs/>
        </w:rPr>
      </w:pPr>
      <w:r>
        <w:rPr>
          <w:rStyle w:val="Accentuationlgre"/>
          <w:sz w:val="16"/>
          <w:szCs w:val="16"/>
        </w:rPr>
        <w:t xml:space="preserve">        With: </w:t>
      </w:r>
      <w:r w:rsidR="00FE7AEB">
        <w:rPr>
          <w:rStyle w:val="Accentuation"/>
          <w:i/>
          <w:iCs/>
        </w:rPr>
        <w:t>EF</w:t>
      </w:r>
      <w:r>
        <w:rPr>
          <w:rStyle w:val="Accentuation"/>
          <w:i/>
          <w:iCs/>
        </w:rPr>
        <w:t>: emission factor</w:t>
      </w:r>
    </w:p>
    <w:p w14:paraId="0DEF6F27" w14:textId="30333158" w:rsidR="00DB4D57" w:rsidRDefault="00000000">
      <w:r>
        <w:t xml:space="preserve">By combining recent data from the scientific literature with information from component and semiconductor manufacturers, the model </w:t>
      </w:r>
      <w:r w:rsidR="00FE7AEB">
        <w:t>succeeds to spread OVHcloud’s</w:t>
      </w:r>
      <w:r>
        <w:t xml:space="preserve"> impact of manufacturing </w:t>
      </w:r>
      <w:r w:rsidR="00FE7AEB">
        <w:t xml:space="preserve">over </w:t>
      </w:r>
      <w:r>
        <w:t>all</w:t>
      </w:r>
      <w:r w:rsidR="00FE7AEB">
        <w:t xml:space="preserve"> the</w:t>
      </w:r>
      <w:r>
        <w:t xml:space="preserve"> servers, including primary manufacturing (</w:t>
      </w:r>
      <w:r w:rsidR="00073783">
        <w:fldChar w:fldCharType="begin"/>
      </w:r>
      <w:r w:rsidR="00073783">
        <w:instrText xml:space="preserve"> REF _Ref188363719 \h </w:instrText>
      </w:r>
      <w:r w:rsidR="00073783">
        <w:fldChar w:fldCharType="separate"/>
      </w:r>
      <w:r>
        <w:t xml:space="preserve">Table </w:t>
      </w:r>
      <w:r>
        <w:rPr>
          <w:noProof/>
        </w:rPr>
        <w:t>1</w:t>
      </w:r>
      <w:r w:rsidR="00073783">
        <w:fldChar w:fldCharType="end"/>
      </w:r>
      <w:r>
        <w:t xml:space="preserve">). </w:t>
      </w:r>
      <w:r w:rsidR="00FE7AEB" w:rsidRPr="00541685">
        <w:t xml:space="preserve">Hence, a single but evolving model enables providing precise personalized </w:t>
      </w:r>
      <w:r w:rsidR="00FE7AEB">
        <w:t>environmental</w:t>
      </w:r>
      <w:r w:rsidR="00FE7AEB" w:rsidRPr="00541685">
        <w:t xml:space="preserve"> footprint for every physical machine</w:t>
      </w:r>
      <w:r>
        <w:t>.</w:t>
      </w:r>
    </w:p>
    <w:tbl>
      <w:tblPr>
        <w:tblStyle w:val="TableauGrille1Clair-Accentuation1"/>
        <w:tblpPr w:leftFromText="141" w:rightFromText="141" w:vertAnchor="text" w:horzAnchor="margin" w:tblpXSpec="center" w:tblpY="598"/>
        <w:tblW w:w="7650" w:type="dxa"/>
        <w:tblLayout w:type="fixed"/>
        <w:tblCellMar>
          <w:left w:w="57" w:type="dxa"/>
          <w:right w:w="57" w:type="dxa"/>
        </w:tblCellMar>
        <w:tblLook w:val="04A0" w:firstRow="1" w:lastRow="0" w:firstColumn="1" w:lastColumn="0" w:noHBand="0" w:noVBand="1"/>
      </w:tblPr>
      <w:tblGrid>
        <w:gridCol w:w="2830"/>
        <w:gridCol w:w="1985"/>
        <w:gridCol w:w="2835"/>
      </w:tblGrid>
      <w:tr w:rsidR="00BC4027" w14:paraId="365AD447" w14:textId="77777777" w:rsidTr="00B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587DC19" w14:textId="77777777" w:rsidR="00DB4D57" w:rsidRDefault="00000000">
            <w:pPr>
              <w:pStyle w:val="ContentsHeading"/>
              <w:framePr w:hSpace="0" w:wrap="auto" w:vAnchor="margin" w:hAnchor="text" w:xAlign="left" w:yAlign="inline"/>
              <w:rPr>
                <w:bCs/>
              </w:rPr>
            </w:pPr>
            <w:bookmarkStart w:id="21" w:name="_Ref188363719"/>
            <w:r>
              <w:rPr>
                <w:bCs/>
              </w:rPr>
              <w:t>Components</w:t>
            </w:r>
          </w:p>
        </w:tc>
        <w:tc>
          <w:tcPr>
            <w:tcW w:w="1985" w:type="dxa"/>
            <w:vAlign w:val="center"/>
          </w:tcPr>
          <w:p w14:paraId="38137603" w14:textId="77777777" w:rsidR="00DB4D57" w:rsidRDefault="0000000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Cs/>
              </w:rPr>
            </w:pPr>
            <w:r>
              <w:rPr>
                <w:bCs/>
              </w:rPr>
              <w:t>Units</w:t>
            </w:r>
          </w:p>
        </w:tc>
        <w:tc>
          <w:tcPr>
            <w:tcW w:w="2835" w:type="dxa"/>
            <w:vAlign w:val="center"/>
          </w:tcPr>
          <w:p w14:paraId="5DA31D24" w14:textId="77777777" w:rsidR="00DB4D57" w:rsidRDefault="00000000" w:rsidP="00085BF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Cs/>
              </w:rPr>
            </w:pPr>
            <w:r>
              <w:rPr>
                <w:bCs/>
              </w:rPr>
              <w:t>Emission factors</w:t>
            </w:r>
          </w:p>
        </w:tc>
      </w:tr>
    </w:tbl>
    <w:p w14:paraId="63DEA027" w14:textId="74FA3D9F" w:rsidR="00085BF0" w:rsidRDefault="00085BF0" w:rsidP="00085BF0">
      <w:pPr>
        <w:pStyle w:val="Lgende"/>
        <w:framePr w:hSpace="141" w:wrap="around" w:vAnchor="text" w:hAnchor="page" w:x="3393" w:y="123"/>
      </w:pPr>
      <w:bookmarkStart w:id="22" w:name="_Toc202948844"/>
      <w:bookmarkEnd w:id="21"/>
      <w:r>
        <w:t xml:space="preserve">Table </w:t>
      </w:r>
      <w:fldSimple w:instr=" SEQ Table \* ARABIC ">
        <w:r w:rsidR="00137477">
          <w:rPr>
            <w:noProof/>
          </w:rPr>
          <w:t>1</w:t>
        </w:r>
      </w:fldSimple>
      <w:r>
        <w:t xml:space="preserve"> - </w:t>
      </w:r>
      <w:r w:rsidRPr="00D12EC2">
        <w:t>Carbon footprint of major components (Source: IJO, 2022)</w:t>
      </w:r>
      <w:bookmarkEnd w:id="22"/>
    </w:p>
    <w:p w14:paraId="55A1D5EE" w14:textId="3602B318" w:rsidR="00DB4D57" w:rsidRDefault="00DB4D57">
      <w:pPr>
        <w:pStyle w:val="Lgende"/>
      </w:pPr>
    </w:p>
    <w:tbl>
      <w:tblPr>
        <w:tblStyle w:val="TableauGrille1Clair-Accentuation1"/>
        <w:tblW w:w="7650" w:type="dxa"/>
        <w:jc w:val="center"/>
        <w:tblLayout w:type="fixed"/>
        <w:tblCellMar>
          <w:left w:w="57" w:type="dxa"/>
          <w:right w:w="57" w:type="dxa"/>
        </w:tblCellMar>
        <w:tblLook w:val="04A0" w:firstRow="1" w:lastRow="0" w:firstColumn="1" w:lastColumn="0" w:noHBand="0" w:noVBand="1"/>
      </w:tblPr>
      <w:tblGrid>
        <w:gridCol w:w="2830"/>
        <w:gridCol w:w="1985"/>
        <w:gridCol w:w="2835"/>
      </w:tblGrid>
      <w:tr w:rsidR="00F470C8" w14:paraId="62635570" w14:textId="77777777" w:rsidTr="009B48EB">
        <w:trPr>
          <w:cnfStyle w:val="100000000000" w:firstRow="1" w:lastRow="0" w:firstColumn="0" w:lastColumn="0" w:oddVBand="0" w:evenVBand="0" w:oddHBand="0"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B4C6E7" w:themeColor="accent1" w:themeTint="66"/>
            </w:tcBorders>
            <w:vAlign w:val="center"/>
          </w:tcPr>
          <w:p w14:paraId="3C98DBDC" w14:textId="77777777" w:rsidR="00DB4D57" w:rsidRDefault="00000000">
            <w:pPr>
              <w:pStyle w:val="Contents1"/>
            </w:pPr>
            <w:r>
              <w:t xml:space="preserve">Rack </w:t>
            </w:r>
          </w:p>
          <w:p w14:paraId="4F375CF0" w14:textId="77777777" w:rsidR="00DB4D57" w:rsidRDefault="00000000">
            <w:pPr>
              <w:pStyle w:val="Contents1"/>
            </w:pPr>
            <w:r>
              <w:t>(Motherboard and appendices)</w:t>
            </w:r>
          </w:p>
        </w:tc>
        <w:tc>
          <w:tcPr>
            <w:tcW w:w="1985" w:type="dxa"/>
            <w:tcBorders>
              <w:bottom w:val="single" w:sz="4" w:space="0" w:color="B4C6E7" w:themeColor="accent1" w:themeTint="66"/>
            </w:tcBorders>
            <w:vAlign w:val="center"/>
          </w:tcPr>
          <w:p w14:paraId="19F5511C" w14:textId="77777777" w:rsidR="00DB4D57" w:rsidRDefault="00000000">
            <w:pPr>
              <w:pStyle w:val="Contents2"/>
              <w:cnfStyle w:val="100000000000" w:firstRow="1" w:lastRow="0" w:firstColumn="0" w:lastColumn="0" w:oddVBand="0" w:evenVBand="0" w:oddHBand="0" w:evenHBand="0" w:firstRowFirstColumn="0" w:firstRowLastColumn="0" w:lastRowFirstColumn="0" w:lastRowLastColumn="0"/>
              <w:rPr>
                <w:b w:val="0"/>
                <w:bCs w:val="0"/>
              </w:rPr>
            </w:pPr>
            <w:r>
              <w:rPr>
                <w:b w:val="0"/>
                <w:bCs w:val="0"/>
              </w:rPr>
              <w:t>Number of U</w:t>
            </w:r>
          </w:p>
        </w:tc>
        <w:tc>
          <w:tcPr>
            <w:tcW w:w="2835" w:type="dxa"/>
            <w:tcBorders>
              <w:bottom w:val="single" w:sz="4" w:space="0" w:color="B4C6E7" w:themeColor="accent1" w:themeTint="66"/>
            </w:tcBorders>
            <w:vAlign w:val="center"/>
          </w:tcPr>
          <w:p w14:paraId="7335648D" w14:textId="77777777" w:rsidR="00DB4D57" w:rsidRDefault="00000000">
            <w:pPr>
              <w:pStyle w:val="Contents2"/>
              <w:cnfStyle w:val="100000000000" w:firstRow="1" w:lastRow="0" w:firstColumn="0" w:lastColumn="0" w:oddVBand="0" w:evenVBand="0" w:oddHBand="0" w:evenHBand="0" w:firstRowFirstColumn="0" w:firstRowLastColumn="0" w:lastRowFirstColumn="0" w:lastRowLastColumn="0"/>
              <w:rPr>
                <w:b w:val="0"/>
                <w:bCs w:val="0"/>
              </w:rPr>
            </w:pPr>
            <w:r>
              <w:rPr>
                <w:b w:val="0"/>
                <w:bCs w:val="0"/>
              </w:rPr>
              <w:t>1U: 200 kgCO</w:t>
            </w:r>
            <w:r>
              <w:rPr>
                <w:b w:val="0"/>
                <w:bCs w:val="0"/>
                <w:vertAlign w:val="subscript"/>
              </w:rPr>
              <w:t>2</w:t>
            </w:r>
            <w:r>
              <w:rPr>
                <w:b w:val="0"/>
                <w:bCs w:val="0"/>
              </w:rPr>
              <w:t>eq</w:t>
            </w:r>
          </w:p>
          <w:p w14:paraId="625F7D11" w14:textId="77777777" w:rsidR="00DB4D57" w:rsidRDefault="00000000">
            <w:pPr>
              <w:pStyle w:val="Contents2"/>
              <w:cnfStyle w:val="100000000000" w:firstRow="1" w:lastRow="0" w:firstColumn="0" w:lastColumn="0" w:oddVBand="0" w:evenVBand="0" w:oddHBand="0" w:evenHBand="0" w:firstRowFirstColumn="0" w:firstRowLastColumn="0" w:lastRowFirstColumn="0" w:lastRowLastColumn="0"/>
              <w:rPr>
                <w:b w:val="0"/>
                <w:bCs w:val="0"/>
              </w:rPr>
            </w:pPr>
            <w:r>
              <w:rPr>
                <w:b w:val="0"/>
                <w:bCs w:val="0"/>
              </w:rPr>
              <w:t>2U: 250 kgCO</w:t>
            </w:r>
            <w:r>
              <w:rPr>
                <w:b w:val="0"/>
                <w:bCs w:val="0"/>
                <w:vertAlign w:val="subscript"/>
              </w:rPr>
              <w:t>2</w:t>
            </w:r>
            <w:r>
              <w:rPr>
                <w:b w:val="0"/>
                <w:bCs w:val="0"/>
              </w:rPr>
              <w:t>eq</w:t>
            </w:r>
          </w:p>
          <w:p w14:paraId="044DDB28" w14:textId="77777777" w:rsidR="00DB4D57" w:rsidRDefault="00000000">
            <w:pPr>
              <w:pStyle w:val="Contents2"/>
              <w:cnfStyle w:val="100000000000" w:firstRow="1" w:lastRow="0" w:firstColumn="0" w:lastColumn="0" w:oddVBand="0" w:evenVBand="0" w:oddHBand="0" w:evenHBand="0" w:firstRowFirstColumn="0" w:firstRowLastColumn="0" w:lastRowFirstColumn="0" w:lastRowLastColumn="0"/>
              <w:rPr>
                <w:b w:val="0"/>
                <w:bCs w:val="0"/>
              </w:rPr>
            </w:pPr>
            <w:r>
              <w:rPr>
                <w:b w:val="0"/>
                <w:bCs w:val="0"/>
              </w:rPr>
              <w:t>4U: 350 kgCO</w:t>
            </w:r>
            <w:r>
              <w:rPr>
                <w:b w:val="0"/>
                <w:bCs w:val="0"/>
                <w:vertAlign w:val="subscript"/>
              </w:rPr>
              <w:t>2</w:t>
            </w:r>
            <w:r>
              <w:rPr>
                <w:b w:val="0"/>
                <w:bCs w:val="0"/>
              </w:rPr>
              <w:t>eq</w:t>
            </w:r>
          </w:p>
        </w:tc>
      </w:tr>
      <w:tr w:rsidR="00F470C8" w14:paraId="5BF42AC7" w14:textId="77777777" w:rsidTr="009B48EB">
        <w:trPr>
          <w:trHeight w:val="397"/>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B4C6E7" w:themeColor="accent1" w:themeTint="66"/>
            </w:tcBorders>
            <w:vAlign w:val="center"/>
          </w:tcPr>
          <w:p w14:paraId="39DD492D" w14:textId="77777777" w:rsidR="00DB4D57" w:rsidRDefault="00000000">
            <w:pPr>
              <w:pStyle w:val="Contents1"/>
            </w:pPr>
            <w:r>
              <w:t>CPU</w:t>
            </w:r>
          </w:p>
        </w:tc>
        <w:tc>
          <w:tcPr>
            <w:tcW w:w="1985" w:type="dxa"/>
            <w:tcBorders>
              <w:top w:val="single" w:sz="4" w:space="0" w:color="B4C6E7" w:themeColor="accent1" w:themeTint="66"/>
            </w:tcBorders>
            <w:vAlign w:val="center"/>
          </w:tcPr>
          <w:p w14:paraId="794D0D4C"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Number of cores</w:t>
            </w:r>
          </w:p>
        </w:tc>
        <w:tc>
          <w:tcPr>
            <w:tcW w:w="2835" w:type="dxa"/>
            <w:tcBorders>
              <w:top w:val="single" w:sz="4" w:space="0" w:color="B4C6E7" w:themeColor="accent1" w:themeTint="66"/>
            </w:tcBorders>
            <w:vAlign w:val="center"/>
          </w:tcPr>
          <w:p w14:paraId="1C042787"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1.5 kgCO</w:t>
            </w:r>
            <w:r>
              <w:rPr>
                <w:vertAlign w:val="subscript"/>
              </w:rPr>
              <w:t>2</w:t>
            </w:r>
            <w:r>
              <w:t>eq/core</w:t>
            </w:r>
          </w:p>
        </w:tc>
      </w:tr>
      <w:tr w:rsidR="00F470C8" w14:paraId="0C2982E0" w14:textId="77777777" w:rsidTr="00F4218F">
        <w:trPr>
          <w:trHeight w:val="454"/>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66D36BD" w14:textId="77777777" w:rsidR="00DB4D57" w:rsidRDefault="00000000">
            <w:pPr>
              <w:pStyle w:val="Contents1"/>
            </w:pPr>
            <w:r>
              <w:t>GPU</w:t>
            </w:r>
          </w:p>
        </w:tc>
        <w:tc>
          <w:tcPr>
            <w:tcW w:w="4820" w:type="dxa"/>
            <w:gridSpan w:val="2"/>
            <w:vAlign w:val="center"/>
          </w:tcPr>
          <w:p w14:paraId="06D9E28E"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Sales reference</w:t>
            </w:r>
          </w:p>
        </w:tc>
      </w:tr>
      <w:tr w:rsidR="00F470C8" w14:paraId="491F33F3" w14:textId="77777777" w:rsidTr="00F4218F">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D518A8" w14:textId="77777777" w:rsidR="00DB4D57" w:rsidRDefault="00000000">
            <w:pPr>
              <w:pStyle w:val="Contents1"/>
            </w:pPr>
            <w:r>
              <w:t>RAM</w:t>
            </w:r>
          </w:p>
        </w:tc>
        <w:tc>
          <w:tcPr>
            <w:tcW w:w="1985" w:type="dxa"/>
            <w:vAlign w:val="center"/>
          </w:tcPr>
          <w:p w14:paraId="5D1FD246"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Gigabyte</w:t>
            </w:r>
          </w:p>
        </w:tc>
        <w:tc>
          <w:tcPr>
            <w:tcW w:w="2835" w:type="dxa"/>
            <w:vAlign w:val="center"/>
          </w:tcPr>
          <w:p w14:paraId="28D2C131"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2 kgCO</w:t>
            </w:r>
            <w:r>
              <w:rPr>
                <w:vertAlign w:val="subscript"/>
              </w:rPr>
              <w:t>2</w:t>
            </w:r>
            <w:r>
              <w:t>eq/GB</w:t>
            </w:r>
          </w:p>
        </w:tc>
      </w:tr>
      <w:tr w:rsidR="00F470C8" w14:paraId="3CA97D79" w14:textId="77777777" w:rsidTr="00F4218F">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84A2EA5" w14:textId="77777777" w:rsidR="00DB4D57" w:rsidRDefault="00000000">
            <w:pPr>
              <w:pStyle w:val="Contents1"/>
            </w:pPr>
            <w:r>
              <w:t>SSD disk</w:t>
            </w:r>
          </w:p>
        </w:tc>
        <w:tc>
          <w:tcPr>
            <w:tcW w:w="1985" w:type="dxa"/>
            <w:vAlign w:val="center"/>
          </w:tcPr>
          <w:p w14:paraId="10EC527A"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Terabyte</w:t>
            </w:r>
          </w:p>
        </w:tc>
        <w:tc>
          <w:tcPr>
            <w:tcW w:w="2835" w:type="dxa"/>
            <w:vAlign w:val="center"/>
          </w:tcPr>
          <w:p w14:paraId="5524C053"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60 kgCO</w:t>
            </w:r>
            <w:r>
              <w:rPr>
                <w:vertAlign w:val="subscript"/>
              </w:rPr>
              <w:t>2</w:t>
            </w:r>
            <w:r>
              <w:t>eq/TB</w:t>
            </w:r>
          </w:p>
        </w:tc>
      </w:tr>
      <w:tr w:rsidR="00F470C8" w14:paraId="05B838C2" w14:textId="77777777" w:rsidTr="00F4218F">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DF31E38" w14:textId="0910A7FE" w:rsidR="00DB4D57" w:rsidRDefault="00000000">
            <w:pPr>
              <w:pStyle w:val="Contents1"/>
            </w:pPr>
            <w:r>
              <w:t>HDD</w:t>
            </w:r>
            <w:r w:rsidR="00FE7AEB">
              <w:t xml:space="preserve"> disk</w:t>
            </w:r>
          </w:p>
        </w:tc>
        <w:tc>
          <w:tcPr>
            <w:tcW w:w="1985" w:type="dxa"/>
            <w:vAlign w:val="center"/>
          </w:tcPr>
          <w:p w14:paraId="72DB4406"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Terabyte</w:t>
            </w:r>
          </w:p>
        </w:tc>
        <w:tc>
          <w:tcPr>
            <w:tcW w:w="2835" w:type="dxa"/>
            <w:vAlign w:val="center"/>
          </w:tcPr>
          <w:p w14:paraId="60CD99C8" w14:textId="77777777" w:rsidR="00DB4D57" w:rsidRDefault="00000000">
            <w:pPr>
              <w:pStyle w:val="Contents2"/>
              <w:cnfStyle w:val="000000000000" w:firstRow="0" w:lastRow="0" w:firstColumn="0" w:lastColumn="0" w:oddVBand="0" w:evenVBand="0" w:oddHBand="0" w:evenHBand="0" w:firstRowFirstColumn="0" w:firstRowLastColumn="0" w:lastRowFirstColumn="0" w:lastRowLastColumn="0"/>
            </w:pPr>
            <w:r>
              <w:t>25 kgCO</w:t>
            </w:r>
            <w:r>
              <w:rPr>
                <w:vertAlign w:val="subscript"/>
              </w:rPr>
              <w:t>2</w:t>
            </w:r>
            <w:r>
              <w:t>eq/TB</w:t>
            </w:r>
          </w:p>
        </w:tc>
      </w:tr>
    </w:tbl>
    <w:p w14:paraId="0D993410" w14:textId="77777777" w:rsidR="005D49A8" w:rsidRDefault="005D49A8" w:rsidP="005D49A8">
      <w:pPr>
        <w:pStyle w:val="Titre3"/>
        <w:numPr>
          <w:ilvl w:val="0"/>
          <w:numId w:val="0"/>
        </w:numPr>
        <w:ind w:left="1854"/>
      </w:pPr>
    </w:p>
    <w:p w14:paraId="4A917462" w14:textId="77777777" w:rsidR="00DB4D57" w:rsidRDefault="00000000">
      <w:pPr>
        <w:pStyle w:val="Titre3"/>
      </w:pPr>
      <w:bookmarkStart w:id="23" w:name="_Toc202948809"/>
      <w:r>
        <w:t>Focus on the environmental footprint of GPUs</w:t>
      </w:r>
      <w:bookmarkEnd w:id="23"/>
    </w:p>
    <w:p w14:paraId="492AAE90" w14:textId="1BEBB8C9" w:rsidR="00DB4D57" w:rsidRDefault="00000000">
      <w:r>
        <w:t xml:space="preserve">The environmental footprint of GPUs was estimated from the </w:t>
      </w:r>
      <w:r>
        <w:rPr>
          <w:i/>
          <w:iCs/>
        </w:rPr>
        <w:t>Green Cloud Computing</w:t>
      </w:r>
      <w:r>
        <w:t xml:space="preserve"> study (2021)</w:t>
      </w:r>
      <w:r w:rsidR="00AE26BD">
        <w:rPr>
          <w:rStyle w:val="Appelnotedebasdep"/>
        </w:rPr>
        <w:footnoteReference w:id="2"/>
      </w:r>
      <w:r>
        <w:t>. The approach involves breaking the GPU into 5 elements and extracting the information required for calculation. Thus, the publication cited above allows to approximate the environmental footprint of a GPU through the sum of the footprint</w:t>
      </w:r>
      <w:r w:rsidR="00FE7AEB">
        <w:t xml:space="preserve"> of</w:t>
      </w:r>
      <w:r>
        <w:t>:</w:t>
      </w:r>
    </w:p>
    <w:p w14:paraId="5CD25BF4" w14:textId="77777777" w:rsidR="00DB4D57" w:rsidRDefault="00000000">
      <w:pPr>
        <w:pStyle w:val="Paragraphedeliste"/>
        <w:numPr>
          <w:ilvl w:val="0"/>
          <w:numId w:val="8"/>
        </w:numPr>
      </w:pPr>
      <w:r>
        <w:t>the graphics processor,</w:t>
      </w:r>
    </w:p>
    <w:p w14:paraId="0D1E99DA" w14:textId="77777777" w:rsidR="00DB4D57" w:rsidRDefault="00000000">
      <w:pPr>
        <w:pStyle w:val="Paragraphedeliste"/>
        <w:numPr>
          <w:ilvl w:val="0"/>
          <w:numId w:val="8"/>
        </w:numPr>
      </w:pPr>
      <w:r>
        <w:t xml:space="preserve">memory, </w:t>
      </w:r>
    </w:p>
    <w:p w14:paraId="6A00FD7C" w14:textId="77777777" w:rsidR="00DB4D57" w:rsidRDefault="00000000">
      <w:pPr>
        <w:pStyle w:val="Paragraphedeliste"/>
        <w:numPr>
          <w:ilvl w:val="0"/>
          <w:numId w:val="8"/>
        </w:numPr>
      </w:pPr>
      <w:r>
        <w:t>printed circuits of the board (PCB),</w:t>
      </w:r>
    </w:p>
    <w:p w14:paraId="43096E37" w14:textId="77777777" w:rsidR="00DB4D57" w:rsidRDefault="00000000">
      <w:pPr>
        <w:pStyle w:val="Paragraphedeliste"/>
        <w:numPr>
          <w:ilvl w:val="0"/>
          <w:numId w:val="8"/>
        </w:numPr>
      </w:pPr>
      <w:r>
        <w:t>the computer bus,</w:t>
      </w:r>
    </w:p>
    <w:p w14:paraId="5BD60A99" w14:textId="77777777" w:rsidR="00DB4D57" w:rsidRDefault="00000000">
      <w:pPr>
        <w:pStyle w:val="Paragraphedeliste"/>
        <w:numPr>
          <w:ilvl w:val="0"/>
          <w:numId w:val="8"/>
        </w:numPr>
      </w:pPr>
      <w:r>
        <w:t>of heat dissipation.</w:t>
      </w:r>
    </w:p>
    <w:p w14:paraId="3D616886" w14:textId="4D30056C" w:rsidR="00DB4D57" w:rsidRDefault="00000000">
      <w:pPr>
        <w:pStyle w:val="Titre3"/>
      </w:pPr>
      <w:bookmarkStart w:id="24" w:name="_Toc202948810"/>
      <w:r>
        <w:lastRenderedPageBreak/>
        <w:t>Component refurbishment focus</w:t>
      </w:r>
      <w:bookmarkEnd w:id="24"/>
    </w:p>
    <w:p w14:paraId="7A3D4F5A" w14:textId="4DFDBBFB" w:rsidR="005B30CA" w:rsidRDefault="005B30CA">
      <w:r>
        <w:rPr>
          <w:noProof/>
        </w:rPr>
        <mc:AlternateContent>
          <mc:Choice Requires="wps">
            <w:drawing>
              <wp:anchor distT="0" distB="0" distL="114300" distR="114300" simplePos="0" relativeHeight="251710464" behindDoc="0" locked="0" layoutInCell="1" allowOverlap="1" wp14:anchorId="1A8D18E4" wp14:editId="4074159C">
                <wp:simplePos x="0" y="0"/>
                <wp:positionH relativeFrom="column">
                  <wp:posOffset>0</wp:posOffset>
                </wp:positionH>
                <wp:positionV relativeFrom="paragraph">
                  <wp:posOffset>5220970</wp:posOffset>
                </wp:positionV>
                <wp:extent cx="6645910" cy="635"/>
                <wp:effectExtent l="0" t="0" r="0" b="12065"/>
                <wp:wrapTopAndBottom/>
                <wp:docPr id="1755427332" name="Zone de texte 1"/>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1FA85320" w14:textId="2C95DD6B" w:rsidR="005B30CA" w:rsidRPr="009F5939" w:rsidRDefault="005B30CA" w:rsidP="005B30CA">
                            <w:pPr>
                              <w:pStyle w:val="Lgende"/>
                              <w:rPr>
                                <w:rFonts w:cstheme="majorHAnsi"/>
                              </w:rPr>
                            </w:pPr>
                            <w:bookmarkStart w:id="25" w:name="_Ref200549275"/>
                            <w:bookmarkStart w:id="26" w:name="_Toc202948839"/>
                            <w:r>
                              <w:t xml:space="preserve">Figure </w:t>
                            </w:r>
                            <w:fldSimple w:instr=" SEQ Figure \* ARABIC ">
                              <w:r w:rsidR="00AB593C">
                                <w:rPr>
                                  <w:noProof/>
                                </w:rPr>
                                <w:t>4</w:t>
                              </w:r>
                            </w:fldSimple>
                            <w:bookmarkEnd w:id="25"/>
                            <w:r>
                              <w:t xml:space="preserve"> - </w:t>
                            </w:r>
                            <w:r w:rsidRPr="00C341F9">
                              <w:t>OVHcloud components lifecycle (Source: OVHcloud)</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D18E4" id="_x0000_s1031" type="#_x0000_t202" style="position:absolute;left:0;text-align:left;margin-left:0;margin-top:411.1pt;width:523.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" stroked="f">
                <v:textbox style="mso-fit-shape-to-text:t" inset="0,0,0,0">
                  <w:txbxContent>
                    <w:p w14:paraId="1FA85320" w14:textId="2C95DD6B" w:rsidR="005B30CA" w:rsidRPr="009F5939" w:rsidRDefault="005B30CA" w:rsidP="005B30CA">
                      <w:pPr>
                        <w:pStyle w:val="Lgende"/>
                        <w:rPr>
                          <w:rFonts w:cstheme="majorHAnsi"/>
                        </w:rPr>
                      </w:pPr>
                      <w:bookmarkStart w:id="82" w:name="_Ref200549275"/>
                      <w:bookmarkStart w:id="83" w:name="_Toc202948839"/>
                      <w:r>
                        <w:t xml:space="preserve">Figure </w:t>
                      </w:r>
                      <w:fldSimple w:instr=" SEQ Figure \* ARABIC ">
                        <w:r w:rsidR="00AB593C">
                          <w:rPr>
                            <w:noProof/>
                          </w:rPr>
                          <w:t>4</w:t>
                        </w:r>
                      </w:fldSimple>
                      <w:bookmarkEnd w:id="82"/>
                      <w:r>
                        <w:t xml:space="preserve"> - </w:t>
                      </w:r>
                      <w:r w:rsidRPr="00C341F9">
                        <w:t>OVHcloud components lifecycle (Source: OVHcloud)</w:t>
                      </w:r>
                      <w:bookmarkEnd w:id="83"/>
                    </w:p>
                  </w:txbxContent>
                </v:textbox>
                <w10:wrap type="topAndBottom"/>
              </v:shape>
            </w:pict>
          </mc:Fallback>
        </mc:AlternateContent>
      </w:r>
      <w:r w:rsidRPr="005B30CA">
        <w:rPr>
          <w:noProof/>
        </w:rPr>
        <w:drawing>
          <wp:anchor distT="0" distB="0" distL="114300" distR="114300" simplePos="0" relativeHeight="251708416" behindDoc="0" locked="0" layoutInCell="1" allowOverlap="1" wp14:anchorId="6AC4132F" wp14:editId="3FB7F28E">
            <wp:simplePos x="0" y="0"/>
            <wp:positionH relativeFrom="margin">
              <wp:posOffset>0</wp:posOffset>
            </wp:positionH>
            <wp:positionV relativeFrom="paragraph">
              <wp:posOffset>1096856</wp:posOffset>
            </wp:positionV>
            <wp:extent cx="6645910" cy="4067175"/>
            <wp:effectExtent l="0" t="0" r="0" b="0"/>
            <wp:wrapTopAndBottom/>
            <wp:docPr id="178739775"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9775" name="Image 1" descr="Une image contenant texte, capture d’écran, diagramme, Polic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6645910" cy="4067175"/>
                    </a:xfrm>
                    <a:prstGeom prst="rect">
                      <a:avLst/>
                    </a:prstGeom>
                  </pic:spPr>
                </pic:pic>
              </a:graphicData>
            </a:graphic>
            <wp14:sizeRelH relativeFrom="page">
              <wp14:pctWidth>0</wp14:pctWidth>
            </wp14:sizeRelH>
            <wp14:sizeRelV relativeFrom="page">
              <wp14:pctHeight>0</wp14:pctHeight>
            </wp14:sizeRelV>
          </wp:anchor>
        </w:drawing>
      </w:r>
      <w:r>
        <w:t>The calculation</w:t>
      </w:r>
      <w:bookmarkStart w:id="27" w:name="_Toc188350588"/>
      <w:r>
        <w:t xml:space="preserve"> model (</w:t>
      </w:r>
      <w:r w:rsidR="00E22294">
        <w:fldChar w:fldCharType="begin"/>
      </w:r>
      <w:r w:rsidR="00E22294">
        <w:instrText xml:space="preserve"> REF _Ref188366557 \h </w:instrText>
      </w:r>
      <w:r w:rsidR="00E22294">
        <w:fldChar w:fldCharType="separate"/>
      </w:r>
      <w:r>
        <w:t>Calculating a server’s environmental footprint</w:t>
      </w:r>
      <w:r w:rsidR="00E22294">
        <w:fldChar w:fldCharType="end"/>
      </w:r>
      <w:r>
        <w:t>), developed to assess server manufacturing</w:t>
      </w:r>
      <w:r w:rsidR="00FE7AEB">
        <w:t xml:space="preserve"> impacts distributes these emissions</w:t>
      </w:r>
      <w:r>
        <w:t xml:space="preserve"> over the </w:t>
      </w:r>
      <w:r w:rsidR="00FE7AEB">
        <w:t>whole</w:t>
      </w:r>
      <w:r>
        <w:t xml:space="preserve"> life</w:t>
      </w:r>
      <w:r w:rsidR="00FE7AEB">
        <w:t>cycle</w:t>
      </w:r>
      <w:r>
        <w:t xml:space="preserve"> of the servers and components. Thus, the concept of depreciation period should be inserted. OVHcloud has chosen to match the 5-year depreciation. However, the same component can have 1, 2 or several phases of use over its lifetime (including changing components over the lifetime of the server)(</w:t>
      </w:r>
      <w:r>
        <w:fldChar w:fldCharType="begin"/>
      </w:r>
      <w:r>
        <w:instrText xml:space="preserve"> REF _Ref200549275 \h </w:instrText>
      </w:r>
      <w:r>
        <w:fldChar w:fldCharType="separate"/>
      </w:r>
      <w:r>
        <w:t xml:space="preserve">Figure </w:t>
      </w:r>
      <w:r>
        <w:rPr>
          <w:noProof/>
        </w:rPr>
        <w:t>4</w:t>
      </w:r>
      <w:r>
        <w:fldChar w:fldCharType="end"/>
      </w:r>
      <w:r>
        <w:t>).</w:t>
      </w:r>
    </w:p>
    <w:p w14:paraId="6892BB2F" w14:textId="79E87D9C" w:rsidR="00DB4D57" w:rsidRDefault="00000000">
      <w:r>
        <w:t xml:space="preserve">For added reliability, </w:t>
      </w:r>
      <w:r w:rsidR="00CD03E2">
        <w:t>this calculation model also takes into account the fact that some range of products used older components, thereby contributing to extend lifetimes of machines and components as part of OVHcloud Sustainability strategy.</w:t>
      </w:r>
    </w:p>
    <w:p w14:paraId="6023F1CF" w14:textId="0AB52E48" w:rsidR="00DB4D57" w:rsidRDefault="00000000">
      <w:r>
        <w:t>In the case of servers with refurbished components, over its lifetime, we accurately consider manufacturing emissions, depending on the server configuration and the share of refurbished components in the product range used. This is taken into account by the ratios (or reduction rates) that include the impacts of refurbishment (</w:t>
      </w:r>
      <w:r w:rsidR="00D65CC7">
        <w:fldChar w:fldCharType="begin"/>
      </w:r>
      <w:r w:rsidR="00D65CC7">
        <w:instrText xml:space="preserve"> REF _Ref188546317 \h </w:instrText>
      </w:r>
      <w:r w:rsidR="00D65CC7">
        <w:fldChar w:fldCharType="separate"/>
      </w:r>
      <w:r>
        <w:t xml:space="preserve">Equation </w:t>
      </w:r>
      <w:r>
        <w:rPr>
          <w:noProof/>
        </w:rPr>
        <w:t>2</w:t>
      </w:r>
      <w:r w:rsidR="00D65CC7">
        <w:fldChar w:fldCharType="end"/>
      </w:r>
      <w:r>
        <w:t xml:space="preserve">). These ratios are updated each fiscal year and are calculated based on internal data that is monitored for each </w:t>
      </w:r>
      <w:r w:rsidR="00CD03E2">
        <w:t>range</w:t>
      </w:r>
      <w:r>
        <w:t xml:space="preserve"> and component type.</w:t>
      </w:r>
    </w:p>
    <w:p w14:paraId="5E007614" w14:textId="77777777" w:rsidR="00DB4D57" w:rsidRDefault="00000000">
      <w:pPr>
        <w:pStyle w:val="Lgende"/>
      </w:pPr>
      <w:bookmarkStart w:id="28" w:name="_Ref188546317"/>
      <w:bookmarkStart w:id="29" w:name="_Toc202948849"/>
      <w:r>
        <w:t xml:space="preserve">Equation </w:t>
      </w:r>
      <w:fldSimple w:instr=" SEQ Équation \* ARABIC ">
        <w:r w:rsidR="00DB4D57">
          <w:rPr>
            <w:noProof/>
          </w:rPr>
          <w:t>2</w:t>
        </w:r>
      </w:fldSimple>
      <w:bookmarkEnd w:id="28"/>
      <w:r>
        <w:t xml:space="preserve"> - Calculation of the environmental footprint of server manufacturing (with refurbishment)</w:t>
      </w:r>
      <w:bookmarkEnd w:id="29"/>
    </w:p>
    <w:p w14:paraId="25439712" w14:textId="02AF73D9" w:rsidR="00F57540" w:rsidRPr="000A10AC" w:rsidRDefault="00000000" w:rsidP="0061751A">
      <m:oMathPara>
        <m:oMath>
          <m:sSub>
            <m:sSubPr>
              <m:ctrlPr>
                <w:rPr>
                  <w:rFonts w:ascii="Cambria Math" w:hAnsi="Cambria Math"/>
                </w:rPr>
              </m:ctrlPr>
            </m:sSubPr>
            <m:e>
              <m:r>
                <w:rPr>
                  <w:rFonts w:ascii="Cambria Math" w:hAnsi="Cambria Math"/>
                </w:rPr>
                <m:t>Footprint</m:t>
              </m:r>
            </m:e>
            <m:sub>
              <m:r>
                <w:rPr>
                  <w:rFonts w:ascii="Cambria Math" w:hAnsi="Cambria Math"/>
                </w:rPr>
                <m:t>ùmanufacturing</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components</m:t>
              </m:r>
            </m:sub>
            <m:sup/>
            <m:e>
              <m:sSub>
                <m:sSubPr>
                  <m:ctrlPr>
                    <w:rPr>
                      <w:rFonts w:ascii="Cambria Math" w:hAnsi="Cambria Math"/>
                    </w:rPr>
                  </m:ctrlPr>
                </m:sSubPr>
                <m:e>
                  <m:r>
                    <m:rPr>
                      <m:sty m:val="p"/>
                    </m:rPr>
                    <w:rPr>
                      <w:rFonts w:ascii="Cambria Math" w:hAnsi="Cambria Math"/>
                    </w:rPr>
                    <m:t>[(</m:t>
                  </m:r>
                  <m:r>
                    <w:rPr>
                      <w:rFonts w:ascii="Cambria Math" w:hAnsi="Cambria Math"/>
                    </w:rPr>
                    <m:t>component</m:t>
                  </m:r>
                </m:e>
                <m:sub>
                  <m:r>
                    <w:rPr>
                      <w:rFonts w:ascii="Cambria Math" w:hAnsi="Cambria Math"/>
                    </w:rPr>
                    <m:t>manufacturing</m:t>
                  </m:r>
                </m:sub>
              </m:sSub>
              <m:r>
                <m:rPr>
                  <m:sty m:val="p"/>
                </m:rPr>
                <w:rPr>
                  <w:rFonts w:ascii="Cambria Math" w:hAnsi="Cambria Math"/>
                </w:rPr>
                <m:t>×</m:t>
              </m:r>
              <m:sSub>
                <m:sSubPr>
                  <m:ctrlPr>
                    <w:rPr>
                      <w:rFonts w:ascii="Cambria Math" w:hAnsi="Cambria Math"/>
                    </w:rPr>
                  </m:ctrlPr>
                </m:sSubPr>
                <m:e>
                  <m:r>
                    <w:rPr>
                      <w:rFonts w:ascii="Cambria Math" w:hAnsi="Cambria Math"/>
                    </w:rPr>
                    <m:t>ratio</m:t>
                  </m:r>
                </m:e>
                <m:sub>
                  <m:r>
                    <w:rPr>
                      <w:rFonts w:ascii="Cambria Math" w:hAnsi="Cambria Math"/>
                    </w:rPr>
                    <m:t>range</m:t>
                  </m:r>
                </m:sub>
              </m:sSub>
              <m:r>
                <m:rPr>
                  <m:sty m:val="p"/>
                </m:rPr>
                <w:rPr>
                  <w:rFonts w:ascii="Cambria Math" w:hAnsi="Cambria Math"/>
                </w:rPr>
                <m:t>×</m:t>
              </m:r>
              <m:sSub>
                <m:sSubPr>
                  <m:ctrlPr>
                    <w:rPr>
                      <w:rFonts w:ascii="Cambria Math" w:hAnsi="Cambria Math"/>
                    </w:rPr>
                  </m:ctrlPr>
                </m:sSubPr>
                <m:e>
                  <m:r>
                    <w:rPr>
                      <w:rFonts w:ascii="Cambria Math" w:hAnsi="Cambria Math"/>
                    </w:rPr>
                    <m:t>ratio</m:t>
                  </m:r>
                  <m:r>
                    <m:rPr>
                      <m:sty m:val="p"/>
                    </m:rPr>
                    <w:rPr>
                      <w:rFonts w:ascii="Cambria Math" w:hAnsi="Cambria Math"/>
                    </w:rPr>
                    <m:t xml:space="preserve"> </m:t>
                  </m:r>
                </m:e>
                <m:sub>
                  <m:r>
                    <w:rPr>
                      <w:rFonts w:ascii="Cambria Math" w:hAnsi="Cambria Math"/>
                    </w:rPr>
                    <m:t>component</m:t>
                  </m:r>
                </m:sub>
              </m:sSub>
              <m:r>
                <m:rPr>
                  <m:sty m:val="p"/>
                </m:rPr>
                <w:rPr>
                  <w:rFonts w:ascii="Cambria Math" w:hAnsi="Cambria Math"/>
                </w:rPr>
                <m:t>)+(1-</m:t>
              </m:r>
              <m:sSub>
                <m:sSubPr>
                  <m:ctrlPr>
                    <w:rPr>
                      <w:rFonts w:ascii="Cambria Math" w:hAnsi="Cambria Math"/>
                    </w:rPr>
                  </m:ctrlPr>
                </m:sSubPr>
                <m:e>
                  <m:r>
                    <w:rPr>
                      <w:rFonts w:ascii="Cambria Math" w:hAnsi="Cambria Math"/>
                    </w:rPr>
                    <m:t>ratio</m:t>
                  </m:r>
                </m:e>
                <m:sub>
                  <m:r>
                    <w:rPr>
                      <w:rFonts w:ascii="Cambria Math" w:hAnsi="Cambria Math"/>
                    </w:rPr>
                    <m:t>range</m:t>
                  </m:r>
                </m:sub>
              </m:sSub>
              <m:r>
                <m:rPr>
                  <m:sty m:val="p"/>
                </m:rPr>
                <w:rPr>
                  <w:rFonts w:ascii="Cambria Math" w:hAnsi="Cambria Math"/>
                </w:rPr>
                <m:t>)×</m:t>
              </m:r>
              <m:sSub>
                <m:sSubPr>
                  <m:ctrlPr>
                    <w:rPr>
                      <w:rFonts w:ascii="Cambria Math" w:hAnsi="Cambria Math"/>
                    </w:rPr>
                  </m:ctrlPr>
                </m:sSubPr>
                <m:e>
                  <m:r>
                    <w:rPr>
                      <w:rFonts w:ascii="Cambria Math" w:hAnsi="Cambria Math"/>
                    </w:rPr>
                    <m:t>component</m:t>
                  </m:r>
                </m:e>
                <m:sub>
                  <m:r>
                    <w:rPr>
                      <w:rFonts w:ascii="Cambria Math" w:hAnsi="Cambria Math"/>
                    </w:rPr>
                    <m:t>manufacturing</m:t>
                  </m:r>
                </m:sub>
              </m:sSub>
              <m:r>
                <m:rPr>
                  <m:sty m:val="p"/>
                </m:rPr>
                <w:rPr>
                  <w:rFonts w:ascii="Cambria Math" w:hAnsi="Cambria Math"/>
                </w:rPr>
                <m:t xml:space="preserve">] </m:t>
              </m:r>
            </m:e>
          </m:nary>
        </m:oMath>
      </m:oMathPara>
    </w:p>
    <w:p w14:paraId="54E3F135" w14:textId="77777777" w:rsidR="000A10AC" w:rsidRDefault="000A10AC" w:rsidP="0061751A"/>
    <w:p w14:paraId="12F5B54F" w14:textId="77777777" w:rsidR="0064607E" w:rsidRPr="00E22294" w:rsidRDefault="0064607E" w:rsidP="0061751A"/>
    <w:p w14:paraId="690746E3" w14:textId="7099F204" w:rsidR="00DB4D57" w:rsidRDefault="00000000">
      <w:pPr>
        <w:pStyle w:val="Citationintense"/>
      </w:pPr>
      <w:r>
        <w:lastRenderedPageBreak/>
        <w:t xml:space="preserve">The model developed to assess the </w:t>
      </w:r>
      <w:r w:rsidR="0064607E">
        <w:t>GHG</w:t>
      </w:r>
      <w:r>
        <w:t xml:space="preserve"> emissions associated </w:t>
      </w:r>
      <w:r w:rsidR="0064607E">
        <w:t>to the</w:t>
      </w:r>
      <w:r>
        <w:t xml:space="preserve"> production</w:t>
      </w:r>
      <w:r w:rsidR="0064607E">
        <w:t xml:space="preserve"> of every server relies on </w:t>
      </w:r>
      <w:r>
        <w:t xml:space="preserve"> three key points:</w:t>
      </w:r>
    </w:p>
    <w:p w14:paraId="573759DD" w14:textId="56995445" w:rsidR="00DB4D57" w:rsidRDefault="00000000">
      <w:pPr>
        <w:pStyle w:val="Citationintense"/>
        <w:jc w:val="both"/>
      </w:pPr>
      <w:r>
        <w:t>-</w:t>
      </w:r>
      <w:r w:rsidR="0064607E">
        <w:t xml:space="preserve"> the configuration of the </w:t>
      </w:r>
      <w:r>
        <w:t>machine</w:t>
      </w:r>
      <w:r w:rsidR="0064607E">
        <w:t>s</w:t>
      </w:r>
      <w:r>
        <w:t xml:space="preserve">, especially CPUs, GPUs, RAM, </w:t>
      </w:r>
      <w:r w:rsidR="0064607E">
        <w:t xml:space="preserve">and </w:t>
      </w:r>
      <w:r>
        <w:t>hard disks, whether HDD or SSD,</w:t>
      </w:r>
    </w:p>
    <w:p w14:paraId="017F669B" w14:textId="16175E6F" w:rsidR="00DB4D57" w:rsidRDefault="00000000">
      <w:pPr>
        <w:pStyle w:val="Citationintense"/>
        <w:jc w:val="both"/>
      </w:pPr>
      <w:r>
        <w:t xml:space="preserve">-the expected lifetime </w:t>
      </w:r>
      <w:r w:rsidR="0064607E">
        <w:t>considering</w:t>
      </w:r>
      <w:r>
        <w:t xml:space="preserve"> the different </w:t>
      </w:r>
      <w:r w:rsidR="0064607E">
        <w:t xml:space="preserve">use </w:t>
      </w:r>
      <w:r>
        <w:t>phases,</w:t>
      </w:r>
    </w:p>
    <w:p w14:paraId="0F8FEA54" w14:textId="271CDFC1" w:rsidR="00DB4D57" w:rsidRDefault="00000000">
      <w:pPr>
        <w:pStyle w:val="Citationintense"/>
        <w:jc w:val="both"/>
      </w:pPr>
      <w:r>
        <w:t>-</w:t>
      </w:r>
      <w:r w:rsidR="0064607E">
        <w:t>the share of refurbishment components used in process of assembling the servers depends on the product range.</w:t>
      </w:r>
    </w:p>
    <w:p w14:paraId="7D833666" w14:textId="23857853" w:rsidR="00DB0C80" w:rsidRDefault="00000000" w:rsidP="00DB0C80">
      <w:pPr>
        <w:pStyle w:val="Titre2"/>
      </w:pPr>
      <w:bookmarkStart w:id="30" w:name="_Toc202948811"/>
      <w:r>
        <w:t>Usage phase</w:t>
      </w:r>
      <w:bookmarkEnd w:id="30"/>
    </w:p>
    <w:p w14:paraId="44A54DAB" w14:textId="123AFDB8" w:rsidR="00DB4D57" w:rsidRDefault="00C35F59" w:rsidP="00DB0C80">
      <w:r>
        <w:rPr>
          <w:noProof/>
        </w:rPr>
        <mc:AlternateContent>
          <mc:Choice Requires="wps">
            <w:drawing>
              <wp:anchor distT="0" distB="0" distL="114300" distR="114300" simplePos="0" relativeHeight="251713536" behindDoc="0" locked="0" layoutInCell="1" allowOverlap="1" wp14:anchorId="46B8EB91" wp14:editId="318742F2">
                <wp:simplePos x="0" y="0"/>
                <wp:positionH relativeFrom="margin">
                  <wp:posOffset>1162685</wp:posOffset>
                </wp:positionH>
                <wp:positionV relativeFrom="paragraph">
                  <wp:posOffset>5170805</wp:posOffset>
                </wp:positionV>
                <wp:extent cx="4319905" cy="635"/>
                <wp:effectExtent l="0" t="0" r="0" b="0"/>
                <wp:wrapTopAndBottom/>
                <wp:docPr id="1853391850" name="Zone de texte 1"/>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14:paraId="1B8A03A5" w14:textId="06D33C6D" w:rsidR="00DB0C80" w:rsidRPr="004D4720" w:rsidRDefault="00DB0C80" w:rsidP="00DB0C80">
                            <w:pPr>
                              <w:pStyle w:val="Lgende"/>
                              <w:rPr>
                                <w:rFonts w:eastAsiaTheme="majorEastAsia" w:cstheme="majorBidi"/>
                                <w:bCs/>
                                <w:color w:val="000000" w:themeColor="text1"/>
                                <w:sz w:val="22"/>
                                <w:szCs w:val="28"/>
                              </w:rPr>
                            </w:pPr>
                            <w:bookmarkStart w:id="31" w:name="_Ref201045247"/>
                            <w:bookmarkStart w:id="32" w:name="_Toc202948840"/>
                            <w:r>
                              <w:t xml:space="preserve">Figure </w:t>
                            </w:r>
                            <w:fldSimple w:instr=" SEQ Figure \* ARABIC ">
                              <w:r w:rsidR="00AB593C">
                                <w:rPr>
                                  <w:noProof/>
                                </w:rPr>
                                <w:t>5</w:t>
                              </w:r>
                            </w:fldSimple>
                            <w:bookmarkEnd w:id="31"/>
                            <w:r>
                              <w:t xml:space="preserve"> - Main power consumptions sources for operating a server (source: OVHcloud)</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8EB91" id="_x0000_s1032" type="#_x0000_t202" style="position:absolute;left:0;text-align:left;margin-left:91.55pt;margin-top:407.15pt;width:340.15pt;height:.05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" stroked="f">
                <v:textbox style="mso-fit-shape-to-text:t" inset="0,0,0,0">
                  <w:txbxContent>
                    <w:p w14:paraId="1B8A03A5" w14:textId="06D33C6D" w:rsidR="00DB0C80" w:rsidRPr="004D4720" w:rsidRDefault="00DB0C80" w:rsidP="00DB0C80">
                      <w:pPr>
                        <w:pStyle w:val="Lgende"/>
                        <w:rPr>
                          <w:rFonts w:eastAsiaTheme="majorEastAsia" w:cstheme="majorBidi"/>
                          <w:bCs/>
                          <w:color w:val="000000" w:themeColor="text1"/>
                          <w:sz w:val="22"/>
                          <w:szCs w:val="28"/>
                        </w:rPr>
                      </w:pPr>
                      <w:bookmarkStart w:id="90" w:name="_Ref201045247"/>
                      <w:bookmarkStart w:id="91" w:name="_Toc202948840"/>
                      <w:r>
                        <w:t xml:space="preserve">Figure </w:t>
                      </w:r>
                      <w:fldSimple w:instr=" SEQ Figure \* ARABIC ">
                        <w:r w:rsidR="00AB593C">
                          <w:rPr>
                            <w:noProof/>
                          </w:rPr>
                          <w:t>5</w:t>
                        </w:r>
                      </w:fldSimple>
                      <w:bookmarkEnd w:id="90"/>
                      <w:r>
                        <w:t xml:space="preserve"> - Main power consumptions sources for operating a server (source: OVHcloud)</w:t>
                      </w:r>
                      <w:bookmarkEnd w:id="91"/>
                    </w:p>
                  </w:txbxContent>
                </v:textbox>
                <w10:wrap type="topAndBottom" anchorx="margin"/>
              </v:shape>
            </w:pict>
          </mc:Fallback>
        </mc:AlternateContent>
      </w:r>
      <w:r w:rsidRPr="00DB0C80">
        <w:rPr>
          <w:noProof/>
        </w:rPr>
        <w:drawing>
          <wp:anchor distT="0" distB="0" distL="114300" distR="114300" simplePos="0" relativeHeight="251711488" behindDoc="0" locked="0" layoutInCell="1" allowOverlap="1" wp14:anchorId="3DD5379A" wp14:editId="08B8B901">
            <wp:simplePos x="0" y="0"/>
            <wp:positionH relativeFrom="margin">
              <wp:align>center</wp:align>
            </wp:positionH>
            <wp:positionV relativeFrom="paragraph">
              <wp:posOffset>805180</wp:posOffset>
            </wp:positionV>
            <wp:extent cx="5737750" cy="4248000"/>
            <wp:effectExtent l="0" t="0" r="3175" b="0"/>
            <wp:wrapTopAndBottom/>
            <wp:docPr id="1312353940" name="Image 1" descr="Une image contenant texte, diagramme, capture d’écran,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53940" name="Image 1" descr="Une image contenant texte, diagramme, capture d’écran, cercl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37750" cy="4248000"/>
                    </a:xfrm>
                    <a:prstGeom prst="rect">
                      <a:avLst/>
                    </a:prstGeom>
                  </pic:spPr>
                </pic:pic>
              </a:graphicData>
            </a:graphic>
            <wp14:sizeRelH relativeFrom="page">
              <wp14:pctWidth>0</wp14:pctWidth>
            </wp14:sizeRelH>
            <wp14:sizeRelV relativeFrom="page">
              <wp14:pctHeight>0</wp14:pctHeight>
            </wp14:sizeRelV>
          </wp:anchor>
        </w:drawing>
      </w:r>
      <w:r>
        <w:t>Operating a physical server requires the mobilization of many other hardware and IT infrastructure, which must be taken into account in assessing environmental impacts. A diagram summarizing the main power sources used to estimate a server’s direct and indirect power consumption is provided in</w:t>
      </w:r>
      <w:r w:rsidR="00DB0C80">
        <w:t xml:space="preserve"> </w:t>
      </w:r>
      <w:r w:rsidR="00DB0C80">
        <w:rPr>
          <w:highlight w:val="yellow"/>
        </w:rPr>
        <w:fldChar w:fldCharType="begin"/>
      </w:r>
      <w:r w:rsidR="00DB0C80">
        <w:instrText xml:space="preserve"> REF _Ref201045247 \h </w:instrText>
      </w:r>
      <w:r w:rsidR="00DB0C80">
        <w:rPr>
          <w:highlight w:val="yellow"/>
        </w:rPr>
        <w:instrText xml:space="preserve"> \* MERGEFORMAT </w:instrText>
      </w:r>
      <w:r w:rsidR="00DB0C80">
        <w:rPr>
          <w:highlight w:val="yellow"/>
        </w:rPr>
      </w:r>
      <w:r w:rsidR="00DB0C80">
        <w:rPr>
          <w:highlight w:val="yellow"/>
        </w:rPr>
        <w:fldChar w:fldCharType="separate"/>
      </w:r>
      <w:r w:rsidR="00DB0C80">
        <w:t xml:space="preserve">Figure </w:t>
      </w:r>
      <w:r w:rsidR="00DB0C80">
        <w:rPr>
          <w:noProof/>
        </w:rPr>
        <w:t>5</w:t>
      </w:r>
      <w:r w:rsidR="00DB0C80">
        <w:rPr>
          <w:highlight w:val="yellow"/>
        </w:rPr>
        <w:fldChar w:fldCharType="end"/>
      </w:r>
      <w:r>
        <w:t>.</w:t>
      </w:r>
    </w:p>
    <w:p w14:paraId="539462F9" w14:textId="79C0B7B2" w:rsidR="00DB4D57" w:rsidRPr="00DB0C80" w:rsidRDefault="00DB0C80" w:rsidP="00DB0C80">
      <w:r w:rsidRPr="00DB0C80">
        <w:t>OVHcloud achieves to maintain low carbon emissions thanks to the location of many data centers in countries where the GHG intensity of the electricity mix is relatively low such as France or Canada. This leads to globally low CUE (Carbon Usage Effectiveness), at 0.16 kgCO2e/kWh IT in 2024. Also, OVHcloud achieves good results in PUE (Power Usage Effectiveness) and WUE (Water Usage Effectiveness) with the implementation of its own cooling technologies (</w:t>
      </w:r>
      <w:r w:rsidR="00DC4769" w:rsidRPr="00DB0C80">
        <w:rPr>
          <w:highlight w:val="yellow"/>
        </w:rPr>
        <w:fldChar w:fldCharType="begin"/>
      </w:r>
      <w:r w:rsidR="00DC4769" w:rsidRPr="00DB0C80">
        <w:instrText xml:space="preserve"> REF _Ref188546786 \h </w:instrText>
      </w:r>
      <w:r w:rsidRPr="00DB0C80">
        <w:rPr>
          <w:highlight w:val="yellow"/>
        </w:rPr>
        <w:instrText xml:space="preserve"> \* MERGEFORMAT </w:instrText>
      </w:r>
      <w:r w:rsidR="00DC4769" w:rsidRPr="00DB0C80">
        <w:rPr>
          <w:highlight w:val="yellow"/>
        </w:rPr>
      </w:r>
      <w:r w:rsidR="00DC4769" w:rsidRPr="00DB0C80">
        <w:rPr>
          <w:highlight w:val="yellow"/>
        </w:rPr>
        <w:fldChar w:fldCharType="separate"/>
      </w:r>
      <w:r w:rsidRPr="00DB0C80">
        <w:t>Table 2</w:t>
      </w:r>
      <w:r w:rsidR="00DC4769" w:rsidRPr="00DB0C80">
        <w:rPr>
          <w:highlight w:val="yellow"/>
        </w:rPr>
        <w:fldChar w:fldCharType="end"/>
      </w:r>
      <w:r w:rsidRPr="00DB0C80">
        <w:t>). When we are not able to measure the PUE, we use PUE of 1.6 (in 2024).</w:t>
      </w:r>
    </w:p>
    <w:p w14:paraId="2B608168" w14:textId="77777777" w:rsidR="00DB0C80" w:rsidRPr="00541685" w:rsidRDefault="00DB0C80" w:rsidP="00DB0C80">
      <w:r w:rsidRPr="00541685">
        <w:t>The power consumption is not equal between each OVHcloud server. It depends on its configuration and on its usage. OVHcloud is currently deploying Smart PDUs to precisely monitor the electricity consumption of each server.</w:t>
      </w:r>
    </w:p>
    <w:p w14:paraId="72582878" w14:textId="74F1E54A" w:rsidR="00DB0C80" w:rsidRDefault="00DB0C80" w:rsidP="00DB0C80">
      <w:r w:rsidRPr="00541685">
        <w:t xml:space="preserve">As all servers do not benefit from this monitoring, a simplified approach has been used in the calculation model. For each server, OVHcloud has evaluated the associated power consumption with an internal project aiming at providing for every potential configuration – capacity of the CPU, size of the RAM, etc. – and customer profile the typical power consumption expected. The evaluated typical power </w:t>
      </w:r>
      <w:r w:rsidRPr="00541685">
        <w:lastRenderedPageBreak/>
        <w:t>consumptions are then compared to real measured power consumptions to validate the models.</w:t>
      </w:r>
      <w:r w:rsidR="001746E1">
        <w:t xml:space="preserve"> </w:t>
      </w:r>
      <w:r w:rsidR="001746E1" w:rsidRPr="001746E1">
        <w:t>The energy consumption thus provided represents a workload of 100% 24/7. A simplified approach allows our customers who know their workload to translate the results provided by our tool to their infrastructure</w:t>
      </w:r>
      <w:r w:rsidR="001746E1">
        <w:t xml:space="preserve"> (</w:t>
      </w:r>
      <w:r w:rsidR="001746E1">
        <w:fldChar w:fldCharType="begin"/>
      </w:r>
      <w:r w:rsidR="001746E1">
        <w:instrText xml:space="preserve"> REF _Ref201736499 \h </w:instrText>
      </w:r>
      <w:r w:rsidR="001746E1">
        <w:fldChar w:fldCharType="separate"/>
      </w:r>
      <w:r w:rsidR="001746E1">
        <w:t xml:space="preserve">Figure </w:t>
      </w:r>
      <w:r w:rsidR="001746E1">
        <w:rPr>
          <w:noProof/>
        </w:rPr>
        <w:t>6</w:t>
      </w:r>
      <w:r w:rsidR="001746E1">
        <w:fldChar w:fldCharType="end"/>
      </w:r>
      <w:r w:rsidR="001746E1">
        <w:t>).</w:t>
      </w:r>
    </w:p>
    <w:p w14:paraId="1CEBC3FC" w14:textId="77777777" w:rsidR="001746E1" w:rsidRDefault="001746E1" w:rsidP="001746E1">
      <w:pPr>
        <w:keepNext/>
      </w:pPr>
      <w:r>
        <w:rPr>
          <w:noProof/>
          <w14:ligatures w14:val="standardContextual"/>
        </w:rPr>
        <w:drawing>
          <wp:inline distT="0" distB="0" distL="0" distR="0" wp14:anchorId="20288F9A" wp14:editId="442D21B7">
            <wp:extent cx="6645910" cy="3483610"/>
            <wp:effectExtent l="0" t="0" r="8890" b="8890"/>
            <wp:docPr id="1021560974" name="Graphique 1">
              <a:extLst xmlns:a="http://schemas.openxmlformats.org/drawingml/2006/main">
                <a:ext uri="{FF2B5EF4-FFF2-40B4-BE49-F238E27FC236}">
                  <a16:creationId xmlns:a16="http://schemas.microsoft.com/office/drawing/2014/main" id="{1843F7BE-86DC-3344-DBE3-47A00741F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11FE0A" w14:textId="3D0C8107" w:rsidR="001746E1" w:rsidRPr="001746E1" w:rsidRDefault="001746E1" w:rsidP="001746E1">
      <w:pPr>
        <w:pStyle w:val="Lgende"/>
      </w:pPr>
      <w:bookmarkStart w:id="33" w:name="_Ref201736499"/>
      <w:bookmarkStart w:id="34" w:name="_Toc202948841"/>
      <w:r>
        <w:t xml:space="preserve">Figure </w:t>
      </w:r>
      <w:fldSimple w:instr=" SEQ Figure \* ARABIC ">
        <w:r w:rsidR="00AB593C">
          <w:rPr>
            <w:noProof/>
          </w:rPr>
          <w:t>6</w:t>
        </w:r>
      </w:fldSimple>
      <w:bookmarkEnd w:id="33"/>
      <w:r>
        <w:t xml:space="preserve"> – Elements for workload-based power conversion</w:t>
      </w:r>
      <w:bookmarkEnd w:id="34"/>
    </w:p>
    <w:p w14:paraId="715AD432" w14:textId="19045B9A" w:rsidR="00DB4D57" w:rsidRDefault="00DB0C80" w:rsidP="00C35F59">
      <w:pPr>
        <w:rPr>
          <w:noProof/>
        </w:rPr>
      </w:pPr>
      <w:r w:rsidRPr="00541685">
        <w:t>Nevertheless, as explained above assessing the net power consumption of the server has to be completed by the rest of the electricity consumption of the datacenter. To provide the best quality and most useful information to customers, we consider the proper PUE of each datacenter</w:t>
      </w:r>
      <w:r w:rsidRPr="00541685">
        <w:rPr>
          <w:rStyle w:val="Marquedecommentaire"/>
        </w:rPr>
        <w:t xml:space="preserve">. </w:t>
      </w:r>
      <w:r w:rsidRPr="00541685">
        <w:t>This is done considering the overall power consumption of the data center and distributing extra power consumptions – those that are not from direct server consumptions – over all server connected in the building. The method allows for a more precise estimation of the power consumption to be allocated to each OVHcloud server.</w:t>
      </w:r>
      <w:r w:rsidRPr="00541685">
        <w:rPr>
          <w:noProof/>
        </w:rPr>
        <w:t xml:space="preserve"> </w:t>
      </w:r>
    </w:p>
    <w:p w14:paraId="448B82E4" w14:textId="32B31936" w:rsidR="00DB4D57" w:rsidRDefault="00C35F59" w:rsidP="00C35F59">
      <w:r w:rsidRPr="00541685">
        <w:t>OVHcloud leads an ambitious green energy policy. Once the power consumption has been estimated, the GHG emissions are calculated on a location-based approach, meaning that the local energy mix is considered for each datacenter (</w:t>
      </w:r>
      <w:r w:rsidRPr="00541685">
        <w:fldChar w:fldCharType="begin"/>
      </w:r>
      <w:r w:rsidRPr="00541685">
        <w:instrText xml:space="preserve"> REF _Ref138756623 \h </w:instrText>
      </w:r>
      <w:r>
        <w:instrText xml:space="preserve"> \* MERGEFORMAT </w:instrText>
      </w:r>
      <w:r w:rsidRPr="00541685">
        <w:fldChar w:fldCharType="separate"/>
      </w:r>
      <w:r w:rsidRPr="00541685">
        <w:t xml:space="preserve">Table </w:t>
      </w:r>
      <w:r w:rsidRPr="00541685">
        <w:rPr>
          <w:noProof/>
        </w:rPr>
        <w:t>2</w:t>
      </w:r>
      <w:r w:rsidRPr="00541685">
        <w:fldChar w:fldCharType="end"/>
      </w:r>
      <w:r w:rsidRPr="00541685">
        <w:t>).</w:t>
      </w:r>
      <w:r>
        <w:t xml:space="preserve"> </w:t>
      </w:r>
      <w:r w:rsidRPr="00767CE5">
        <w:rPr>
          <w:color w:val="262626" w:themeColor="text1" w:themeTint="D9"/>
          <w:szCs w:val="18"/>
        </w:rPr>
        <w:t>Since November 2023, we have been taking into account the GHG emissions corresponding to our low carbon energy contracts as indicated by the "market-based" emission factors</w:t>
      </w:r>
      <w:r>
        <w:rPr>
          <w:rFonts w:ascii="Helvetica Neue" w:hAnsi="Helvetica Neue"/>
          <w:color w:val="333333"/>
          <w:sz w:val="20"/>
          <w:szCs w:val="20"/>
          <w:shd w:val="clear" w:color="auto" w:fill="FFFFFF"/>
        </w:rPr>
        <w:t>.</w:t>
      </w:r>
      <w:r w:rsidRPr="00541685">
        <w:t xml:space="preserve"> At this stage, the carbon footprint of the usage phase of each server completed by other IT materials and infrastructure is assessed and included in the global results</w:t>
      </w:r>
      <w:r>
        <w:t>(</w:t>
      </w:r>
      <w:r w:rsidR="005E1755">
        <w:fldChar w:fldCharType="begin"/>
      </w:r>
      <w:r w:rsidR="005E1755">
        <w:instrText xml:space="preserve"> REF _Ref188547414 \h </w:instrText>
      </w:r>
      <w:r>
        <w:instrText xml:space="preserve"> \* MERGEFORMAT </w:instrText>
      </w:r>
      <w:r w:rsidR="005E1755">
        <w:fldChar w:fldCharType="separate"/>
      </w:r>
      <w:r>
        <w:t xml:space="preserve">Equation </w:t>
      </w:r>
      <w:r>
        <w:rPr>
          <w:noProof/>
        </w:rPr>
        <w:t>3</w:t>
      </w:r>
      <w:r w:rsidR="005E1755">
        <w:fldChar w:fldCharType="end"/>
      </w:r>
      <w:r>
        <w:t>).</w:t>
      </w:r>
    </w:p>
    <w:p w14:paraId="372940EA" w14:textId="77777777" w:rsidR="00DB4D57" w:rsidRDefault="00000000">
      <w:pPr>
        <w:pStyle w:val="Lgende"/>
      </w:pPr>
      <w:bookmarkStart w:id="35" w:name="_Ref188547414"/>
      <w:bookmarkStart w:id="36" w:name="_Toc202948850"/>
      <w:r>
        <w:t xml:space="preserve">Equation </w:t>
      </w:r>
      <w:fldSimple w:instr=" SEQ Équation \* ARABIC ">
        <w:r w:rsidR="00DB4D57">
          <w:rPr>
            <w:noProof/>
          </w:rPr>
          <w:t>3</w:t>
        </w:r>
      </w:fldSimple>
      <w:bookmarkEnd w:id="35"/>
      <w:r>
        <w:t xml:space="preserve"> - Calculation of the environmental footprint of the usage phase of a server</w:t>
      </w:r>
      <w:bookmarkEnd w:id="36"/>
    </w:p>
    <w:p w14:paraId="07DB36EB" w14:textId="61876B46" w:rsidR="0056702E" w:rsidRPr="00ED7E8C" w:rsidRDefault="00000000" w:rsidP="0061751A">
      <w:pPr>
        <w:rPr>
          <w:rFonts w:ascii="Liberation Serif" w:eastAsia="Noto Serif CJK SC" w:hAnsi="Liberation Serif" w:cs="Mangal"/>
        </w:rPr>
      </w:pPr>
      <m:oMathPara>
        <m:oMath>
          <m:sSub>
            <m:sSubPr>
              <m:ctrlPr>
                <w:rPr>
                  <w:rFonts w:ascii="Cambria Math" w:hAnsi="Cambria Math"/>
                </w:rPr>
              </m:ctrlPr>
            </m:sSubPr>
            <m:e>
              <m:r>
                <w:rPr>
                  <w:rFonts w:ascii="Cambria Math" w:hAnsi="Cambria Math"/>
                </w:rPr>
                <m:t>Footprint</m:t>
              </m:r>
            </m:e>
            <m:sub>
              <m:r>
                <w:rPr>
                  <w:rFonts w:ascii="Cambria Math" w:hAnsi="Cambria Math"/>
                </w:rPr>
                <m:t>usage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Electricity</m:t>
              </m:r>
            </m:e>
            <m:sub>
              <m:r>
                <w:rPr>
                  <w:rFonts w:ascii="Cambria Math" w:hAnsi="Cambria Math"/>
                </w:rPr>
                <m:t>serveur</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PUE</m:t>
              </m:r>
            </m:e>
            <m:sub>
              <m:r>
                <w:rPr>
                  <w:rFonts w:ascii="Cambria Math" w:hAnsi="Cambria Math"/>
                </w:rPr>
                <m:t>datacenter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Electricty mix emission factor</m:t>
              </m:r>
            </m:e>
            <m:sub>
              <m:r>
                <w:rPr>
                  <w:rFonts w:ascii="Cambria Math" w:hAnsi="Cambria Math"/>
                </w:rPr>
                <m:t>country</m:t>
              </m:r>
            </m:sub>
          </m:sSub>
        </m:oMath>
      </m:oMathPara>
    </w:p>
    <w:p w14:paraId="122C7A6E" w14:textId="70553218" w:rsidR="00085BF0" w:rsidRDefault="00085BF0" w:rsidP="00085BF0">
      <w:pPr>
        <w:pStyle w:val="Lgende"/>
        <w:keepNext/>
      </w:pPr>
    </w:p>
    <w:p w14:paraId="17F3FC8C" w14:textId="77777777" w:rsidR="001746E1" w:rsidRPr="001746E1" w:rsidRDefault="001746E1" w:rsidP="001746E1"/>
    <w:tbl>
      <w:tblPr>
        <w:tblStyle w:val="TableauGrille1Clair-Accentuation1"/>
        <w:tblpPr w:leftFromText="141" w:rightFromText="141" w:vertAnchor="text" w:horzAnchor="margin" w:tblpXSpec="center" w:tblpY="573"/>
        <w:tblW w:w="9918" w:type="dxa"/>
        <w:tblLayout w:type="fixed"/>
        <w:tblCellMar>
          <w:left w:w="0" w:type="dxa"/>
          <w:right w:w="0" w:type="dxa"/>
        </w:tblCellMar>
        <w:tblLook w:val="04A0" w:firstRow="1" w:lastRow="0" w:firstColumn="1" w:lastColumn="0" w:noHBand="0" w:noVBand="1"/>
      </w:tblPr>
      <w:tblGrid>
        <w:gridCol w:w="1555"/>
        <w:gridCol w:w="850"/>
        <w:gridCol w:w="4111"/>
        <w:gridCol w:w="1548"/>
        <w:gridCol w:w="862"/>
        <w:gridCol w:w="992"/>
      </w:tblGrid>
      <w:tr w:rsidR="00247C47" w14:paraId="5CA7D294" w14:textId="77777777" w:rsidTr="00315CA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14:paraId="5E0848B3" w14:textId="77777777" w:rsidR="00DB4D57" w:rsidRDefault="00000000">
            <w:pPr>
              <w:pStyle w:val="ContentsHeading"/>
              <w:framePr w:hSpace="0" w:wrap="auto" w:vAnchor="margin" w:hAnchor="text" w:xAlign="left" w:yAlign="inline"/>
            </w:pPr>
            <w:bookmarkStart w:id="37" w:name="_Ref188546786"/>
            <w:bookmarkStart w:id="38" w:name="_Ref189151385"/>
            <w:r>
              <w:lastRenderedPageBreak/>
              <w:t>Datacentre</w:t>
            </w:r>
          </w:p>
        </w:tc>
        <w:tc>
          <w:tcPr>
            <w:tcW w:w="4111" w:type="dxa"/>
            <w:vAlign w:val="center"/>
          </w:tcPr>
          <w:p w14:paraId="7ED9D6A9" w14:textId="77777777" w:rsidR="00DB4D57" w:rsidRDefault="0000000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Source of electrical emission factors</w:t>
            </w:r>
          </w:p>
          <w:p w14:paraId="060D1738" w14:textId="77777777" w:rsidR="00DB4D57" w:rsidRDefault="00000000">
            <w:pPr>
              <w:pStyle w:val="Contents1"/>
              <w:cnfStyle w:val="100000000000" w:firstRow="1" w:lastRow="0" w:firstColumn="0" w:lastColumn="0" w:oddVBand="0" w:evenVBand="0" w:oddHBand="0" w:evenHBand="0" w:firstRowFirstColumn="0" w:firstRowLastColumn="0" w:lastRowFirstColumn="0" w:lastRowLastColumn="0"/>
              <w:rPr>
                <w:b w:val="0"/>
                <w:bCs w:val="0"/>
                <w:vertAlign w:val="superscript"/>
              </w:rPr>
            </w:pPr>
            <w:r>
              <w:t>Location-based</w:t>
            </w:r>
            <w:r>
              <w:rPr>
                <w:vertAlign w:val="superscript"/>
              </w:rPr>
              <w:t>3</w:t>
            </w:r>
          </w:p>
        </w:tc>
        <w:tc>
          <w:tcPr>
            <w:tcW w:w="1548" w:type="dxa"/>
            <w:vAlign w:val="center"/>
          </w:tcPr>
          <w:p w14:paraId="3F40828E" w14:textId="77777777" w:rsidR="00DB4D57" w:rsidRDefault="0000000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Electrical emission factors</w:t>
            </w:r>
          </w:p>
          <w:p w14:paraId="28DD58CE" w14:textId="77777777" w:rsidR="00DB4D57" w:rsidRDefault="00000000">
            <w:pPr>
              <w:pStyle w:val="Contents1"/>
              <w:cnfStyle w:val="100000000000" w:firstRow="1" w:lastRow="0" w:firstColumn="0" w:lastColumn="0" w:oddVBand="0" w:evenVBand="0" w:oddHBand="0" w:evenHBand="0" w:firstRowFirstColumn="0" w:firstRowLastColumn="0" w:lastRowFirstColumn="0" w:lastRowLastColumn="0"/>
            </w:pPr>
            <w:r>
              <w:t>Market-based</w:t>
            </w:r>
          </w:p>
          <w:p w14:paraId="4EA49ACC" w14:textId="77777777" w:rsidR="00DB4D57" w:rsidRDefault="00000000">
            <w:pPr>
              <w:pStyle w:val="TableHeading"/>
              <w:cnfStyle w:val="100000000000" w:firstRow="1" w:lastRow="0" w:firstColumn="0" w:lastColumn="0" w:oddVBand="0" w:evenVBand="0" w:oddHBand="0" w:evenHBand="0" w:firstRowFirstColumn="0" w:firstRowLastColumn="0" w:lastRowFirstColumn="0" w:lastRowLastColumn="0"/>
            </w:pPr>
            <w:r>
              <w:rPr>
                <w:rFonts w:asciiTheme="majorHAnsi" w:eastAsiaTheme="majorEastAsia" w:hAnsiTheme="majorHAnsi" w:cstheme="majorBidi"/>
                <w:iCs/>
                <w:color w:val="000000" w:themeColor="text1"/>
                <w:kern w:val="0"/>
                <w:sz w:val="20"/>
                <w:szCs w:val="20"/>
              </w:rPr>
              <w:t>kg CO</w:t>
            </w:r>
            <w:r>
              <w:rPr>
                <w:rFonts w:asciiTheme="majorHAnsi" w:eastAsiaTheme="majorEastAsia" w:hAnsiTheme="majorHAnsi" w:cstheme="majorBidi"/>
                <w:iCs/>
                <w:color w:val="000000" w:themeColor="text1"/>
                <w:kern w:val="0"/>
                <w:sz w:val="20"/>
                <w:szCs w:val="20"/>
                <w:vertAlign w:val="subscript"/>
              </w:rPr>
              <w:t>2</w:t>
            </w:r>
            <w:r>
              <w:rPr>
                <w:rFonts w:asciiTheme="majorHAnsi" w:eastAsiaTheme="majorEastAsia" w:hAnsiTheme="majorHAnsi" w:cstheme="majorBidi"/>
                <w:iCs/>
                <w:color w:val="000000" w:themeColor="text1"/>
                <w:kern w:val="0"/>
                <w:sz w:val="20"/>
                <w:szCs w:val="20"/>
              </w:rPr>
              <w:t>eq/kWh</w:t>
            </w:r>
          </w:p>
        </w:tc>
        <w:tc>
          <w:tcPr>
            <w:tcW w:w="862" w:type="dxa"/>
            <w:vAlign w:val="center"/>
          </w:tcPr>
          <w:p w14:paraId="1BD35449" w14:textId="77777777" w:rsidR="00DB4D57" w:rsidRDefault="0000000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val="0"/>
                <w:bCs/>
              </w:rPr>
            </w:pPr>
            <w:r>
              <w:rPr>
                <w:bCs/>
              </w:rPr>
              <w:t>PUE</w:t>
            </w:r>
          </w:p>
          <w:p w14:paraId="155535A3" w14:textId="77777777" w:rsidR="00DB4D57" w:rsidRDefault="00000000">
            <w:pPr>
              <w:pStyle w:val="TableHeading"/>
              <w:cnfStyle w:val="100000000000" w:firstRow="1" w:lastRow="0" w:firstColumn="0" w:lastColumn="0" w:oddVBand="0" w:evenVBand="0" w:oddHBand="0" w:evenHBand="0" w:firstRowFirstColumn="0" w:firstRowLastColumn="0" w:lastRowFirstColumn="0" w:lastRowLastColumn="0"/>
              <w:rPr>
                <w:iCs/>
                <w:color w:val="000D9C"/>
                <w:sz w:val="20"/>
                <w:szCs w:val="18"/>
              </w:rPr>
            </w:pPr>
            <w:r>
              <w:rPr>
                <w:iCs/>
                <w:color w:val="000D9C"/>
                <w:sz w:val="20"/>
                <w:szCs w:val="18"/>
              </w:rPr>
              <w:t>Measured</w:t>
            </w:r>
          </w:p>
        </w:tc>
        <w:tc>
          <w:tcPr>
            <w:tcW w:w="992" w:type="dxa"/>
            <w:vAlign w:val="bottom"/>
          </w:tcPr>
          <w:p w14:paraId="00F75BC7" w14:textId="77777777" w:rsidR="00DB4D57" w:rsidRDefault="00000000">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val="0"/>
                <w:bCs/>
              </w:rPr>
            </w:pPr>
            <w:r>
              <w:rPr>
                <w:bCs/>
              </w:rPr>
              <w:t>WUE</w:t>
            </w:r>
          </w:p>
          <w:p w14:paraId="2C887F31" w14:textId="77777777" w:rsidR="00DB4D57" w:rsidRDefault="00000000">
            <w:pPr>
              <w:pStyle w:val="TableHeading"/>
              <w:cnfStyle w:val="100000000000" w:firstRow="1" w:lastRow="0" w:firstColumn="0" w:lastColumn="0" w:oddVBand="0" w:evenVBand="0" w:oddHBand="0" w:evenHBand="0" w:firstRowFirstColumn="0" w:firstRowLastColumn="0" w:lastRowFirstColumn="0" w:lastRowLastColumn="0"/>
              <w:rPr>
                <w:b/>
                <w:bCs/>
                <w:iCs/>
                <w:color w:val="000D9C"/>
                <w:sz w:val="20"/>
                <w:szCs w:val="18"/>
              </w:rPr>
            </w:pPr>
            <w:r>
              <w:rPr>
                <w:iCs/>
                <w:color w:val="000D9C"/>
                <w:sz w:val="20"/>
                <w:szCs w:val="18"/>
              </w:rPr>
              <w:t>Measured</w:t>
            </w:r>
          </w:p>
          <w:p w14:paraId="1C21A354" w14:textId="77777777" w:rsidR="00315CA6" w:rsidRPr="00315CA6" w:rsidRDefault="00315CA6" w:rsidP="00315CA6">
            <w:pPr>
              <w:pStyle w:val="TableHeading"/>
              <w:cnfStyle w:val="100000000000" w:firstRow="1" w:lastRow="0" w:firstColumn="0" w:lastColumn="0" w:oddVBand="0" w:evenVBand="0" w:oddHBand="0" w:evenHBand="0" w:firstRowFirstColumn="0" w:firstRowLastColumn="0" w:lastRowFirstColumn="0" w:lastRowLastColumn="0"/>
              <w:rPr>
                <w:iCs/>
                <w:color w:val="000D9C"/>
                <w:sz w:val="20"/>
                <w:szCs w:val="18"/>
              </w:rPr>
            </w:pPr>
          </w:p>
          <w:p w14:paraId="0B84407D" w14:textId="77777777" w:rsidR="00DB4D57" w:rsidRDefault="00000000">
            <w:pPr>
              <w:pStyle w:val="En-ttedetabledesmatires"/>
              <w:cnfStyle w:val="100000000000" w:firstRow="1" w:lastRow="0" w:firstColumn="0" w:lastColumn="0" w:oddVBand="0" w:evenVBand="0" w:oddHBand="0" w:evenHBand="0" w:firstRowFirstColumn="0" w:firstRowLastColumn="0" w:lastRowFirstColumn="0" w:lastRowLastColumn="0"/>
              <w:rPr>
                <w:b/>
                <w:bCs/>
              </w:rPr>
            </w:pPr>
            <w:r>
              <w:rPr>
                <w:rFonts w:asciiTheme="majorHAnsi" w:hAnsiTheme="majorHAnsi"/>
                <w:i/>
                <w:iCs/>
                <w:color w:val="000000" w:themeColor="text1"/>
                <w:sz w:val="20"/>
                <w:szCs w:val="20"/>
              </w:rPr>
              <w:t>l/kWh</w:t>
            </w:r>
          </w:p>
        </w:tc>
      </w:tr>
      <w:tr w:rsidR="00247C47" w14:paraId="094EC184"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9CC2E5" w:themeColor="accent5" w:themeTint="99"/>
            </w:tcBorders>
            <w:tcMar>
              <w:top w:w="28" w:type="dxa"/>
              <w:left w:w="28" w:type="dxa"/>
            </w:tcMar>
          </w:tcPr>
          <w:p w14:paraId="6BAAB78A" w14:textId="77777777" w:rsidR="00DB4D57" w:rsidRDefault="00000000">
            <w:pPr>
              <w:pStyle w:val="Contents1"/>
            </w:pPr>
            <w:r>
              <w:t>Beauharnois</w:t>
            </w:r>
          </w:p>
        </w:tc>
        <w:tc>
          <w:tcPr>
            <w:tcW w:w="850" w:type="dxa"/>
            <w:tcBorders>
              <w:bottom w:val="single" w:sz="4" w:space="0" w:color="9CC2E5" w:themeColor="accent5" w:themeTint="99"/>
            </w:tcBorders>
            <w:tcMar>
              <w:top w:w="28" w:type="dxa"/>
              <w:left w:w="28" w:type="dxa"/>
            </w:tcMar>
          </w:tcPr>
          <w:p w14:paraId="0F500D34"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BHS</w:t>
            </w:r>
          </w:p>
        </w:tc>
        <w:tc>
          <w:tcPr>
            <w:tcW w:w="4111" w:type="dxa"/>
            <w:tcBorders>
              <w:bottom w:val="single" w:sz="4" w:space="0" w:color="9CC2E5" w:themeColor="accent5" w:themeTint="99"/>
            </w:tcBorders>
            <w:tcMar>
              <w:top w:w="28" w:type="dxa"/>
              <w:left w:w="28" w:type="dxa"/>
            </w:tcMar>
          </w:tcPr>
          <w:p w14:paraId="0D173A84"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Québec-2024-Yearly. Carbon Intensity Data (April 3, 2025).</w:t>
            </w:r>
          </w:p>
        </w:tc>
        <w:tc>
          <w:tcPr>
            <w:tcW w:w="1548" w:type="dxa"/>
            <w:tcBorders>
              <w:bottom w:val="single" w:sz="4" w:space="0" w:color="9CC2E5" w:themeColor="accent5" w:themeTint="99"/>
            </w:tcBorders>
            <w:tcMar>
              <w:top w:w="28" w:type="dxa"/>
              <w:left w:w="28" w:type="dxa"/>
            </w:tcMar>
          </w:tcPr>
          <w:p w14:paraId="4F2C9D63"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0.0261</w:t>
            </w:r>
          </w:p>
        </w:tc>
        <w:tc>
          <w:tcPr>
            <w:tcW w:w="862" w:type="dxa"/>
            <w:tcBorders>
              <w:bottom w:val="single" w:sz="4" w:space="0" w:color="9CC2E5" w:themeColor="accent5" w:themeTint="99"/>
            </w:tcBorders>
            <w:tcMar>
              <w:top w:w="28" w:type="dxa"/>
              <w:left w:w="28" w:type="dxa"/>
            </w:tcMar>
          </w:tcPr>
          <w:p w14:paraId="7D9ECB15"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1.25</w:t>
            </w:r>
          </w:p>
        </w:tc>
        <w:tc>
          <w:tcPr>
            <w:tcW w:w="992" w:type="dxa"/>
            <w:tcBorders>
              <w:bottom w:val="single" w:sz="4" w:space="0" w:color="9CC2E5" w:themeColor="accent5" w:themeTint="99"/>
            </w:tcBorders>
            <w:tcMar>
              <w:top w:w="28" w:type="dxa"/>
              <w:left w:w="28" w:type="dxa"/>
            </w:tcMar>
          </w:tcPr>
          <w:p w14:paraId="4FE1E8F4"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1.33</w:t>
            </w:r>
          </w:p>
        </w:tc>
      </w:tr>
      <w:tr w:rsidR="00247C47" w14:paraId="68194C39"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5" w:themeTint="99"/>
            </w:tcBorders>
            <w:tcMar>
              <w:top w:w="28" w:type="dxa"/>
              <w:left w:w="28" w:type="dxa"/>
            </w:tcMar>
          </w:tcPr>
          <w:p w14:paraId="28B2A9F1" w14:textId="77777777" w:rsidR="00DB4D57" w:rsidRDefault="00000000">
            <w:pPr>
              <w:pStyle w:val="Contents1"/>
            </w:pPr>
            <w:r>
              <w:t>Erith</w:t>
            </w:r>
          </w:p>
        </w:tc>
        <w:tc>
          <w:tcPr>
            <w:tcW w:w="850" w:type="dxa"/>
            <w:tcBorders>
              <w:top w:val="single" w:sz="4" w:space="0" w:color="9CC2E5" w:themeColor="accent5" w:themeTint="99"/>
            </w:tcBorders>
            <w:tcMar>
              <w:top w:w="28" w:type="dxa"/>
              <w:left w:w="28" w:type="dxa"/>
            </w:tcMar>
          </w:tcPr>
          <w:p w14:paraId="692E3919"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ERI</w:t>
            </w:r>
          </w:p>
        </w:tc>
        <w:tc>
          <w:tcPr>
            <w:tcW w:w="4111" w:type="dxa"/>
            <w:tcBorders>
              <w:top w:val="single" w:sz="4" w:space="0" w:color="9CC2E5" w:themeColor="accent5" w:themeTint="99"/>
            </w:tcBorders>
            <w:tcMar>
              <w:top w:w="28" w:type="dxa"/>
              <w:left w:w="28" w:type="dxa"/>
            </w:tcMar>
          </w:tcPr>
          <w:p w14:paraId="2D5156EA"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United Kingdom-2024-Yearly. Carbon Intensity Data (April 3, 2025).</w:t>
            </w:r>
          </w:p>
        </w:tc>
        <w:tc>
          <w:tcPr>
            <w:tcW w:w="1548" w:type="dxa"/>
            <w:tcBorders>
              <w:top w:val="single" w:sz="4" w:space="0" w:color="9CC2E5" w:themeColor="accent5" w:themeTint="99"/>
            </w:tcBorders>
            <w:tcMar>
              <w:top w:w="28" w:type="dxa"/>
              <w:left w:w="28" w:type="dxa"/>
            </w:tcMar>
          </w:tcPr>
          <w:p w14:paraId="248018E4"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t>0.0130</w:t>
            </w:r>
          </w:p>
        </w:tc>
        <w:tc>
          <w:tcPr>
            <w:tcW w:w="862" w:type="dxa"/>
            <w:tcBorders>
              <w:top w:val="single" w:sz="4" w:space="0" w:color="9CC2E5" w:themeColor="accent5" w:themeTint="99"/>
            </w:tcBorders>
            <w:tcMar>
              <w:top w:w="28" w:type="dxa"/>
              <w:left w:w="28" w:type="dxa"/>
            </w:tcMar>
          </w:tcPr>
          <w:p w14:paraId="61479A0C"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1.26</w:t>
            </w:r>
          </w:p>
        </w:tc>
        <w:tc>
          <w:tcPr>
            <w:tcW w:w="992" w:type="dxa"/>
            <w:tcBorders>
              <w:top w:val="single" w:sz="4" w:space="0" w:color="9CC2E5" w:themeColor="accent5" w:themeTint="99"/>
            </w:tcBorders>
            <w:tcMar>
              <w:top w:w="28" w:type="dxa"/>
              <w:left w:w="28" w:type="dxa"/>
            </w:tcMar>
          </w:tcPr>
          <w:p w14:paraId="12EDB98B"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0.21</w:t>
            </w:r>
          </w:p>
        </w:tc>
      </w:tr>
      <w:tr w:rsidR="00247C47" w14:paraId="7ABBA4F9"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44F3D4A6" w14:textId="77777777" w:rsidR="00DB4D57" w:rsidRDefault="00000000">
            <w:pPr>
              <w:pStyle w:val="Contents1"/>
            </w:pPr>
            <w:r>
              <w:t>Gravelines</w:t>
            </w:r>
          </w:p>
        </w:tc>
        <w:tc>
          <w:tcPr>
            <w:tcW w:w="850" w:type="dxa"/>
            <w:tcMar>
              <w:top w:w="28" w:type="dxa"/>
              <w:left w:w="28" w:type="dxa"/>
            </w:tcMar>
          </w:tcPr>
          <w:p w14:paraId="5931C543"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GRA</w:t>
            </w:r>
          </w:p>
        </w:tc>
        <w:tc>
          <w:tcPr>
            <w:tcW w:w="4111" w:type="dxa"/>
            <w:tcMar>
              <w:top w:w="28" w:type="dxa"/>
              <w:left w:w="28" w:type="dxa"/>
            </w:tcMar>
          </w:tcPr>
          <w:p w14:paraId="656976D3"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France-2024-Yearly. Carbon Intensity Data (April 3, 2025).</w:t>
            </w:r>
          </w:p>
        </w:tc>
        <w:tc>
          <w:tcPr>
            <w:tcW w:w="1548" w:type="dxa"/>
            <w:tcMar>
              <w:top w:w="28" w:type="dxa"/>
              <w:left w:w="28" w:type="dxa"/>
            </w:tcMar>
          </w:tcPr>
          <w:p w14:paraId="1A00748A"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0.0349</w:t>
            </w:r>
          </w:p>
        </w:tc>
        <w:tc>
          <w:tcPr>
            <w:tcW w:w="862" w:type="dxa"/>
            <w:tcMar>
              <w:top w:w="28" w:type="dxa"/>
              <w:left w:w="28" w:type="dxa"/>
            </w:tcMar>
          </w:tcPr>
          <w:p w14:paraId="1E839D97"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1.22</w:t>
            </w:r>
          </w:p>
        </w:tc>
        <w:tc>
          <w:tcPr>
            <w:tcW w:w="992" w:type="dxa"/>
            <w:tcMar>
              <w:top w:w="28" w:type="dxa"/>
              <w:left w:w="28" w:type="dxa"/>
            </w:tcMar>
          </w:tcPr>
          <w:p w14:paraId="3A4159F6"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0.20</w:t>
            </w:r>
          </w:p>
        </w:tc>
      </w:tr>
      <w:tr w:rsidR="00247C47" w14:paraId="657E30CC"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7824FD5E" w14:textId="77777777" w:rsidR="00DB4D57" w:rsidRDefault="00000000">
            <w:pPr>
              <w:pStyle w:val="Contents1"/>
            </w:pPr>
            <w:r>
              <w:t>Hillsboro</w:t>
            </w:r>
          </w:p>
        </w:tc>
        <w:tc>
          <w:tcPr>
            <w:tcW w:w="850" w:type="dxa"/>
            <w:tcMar>
              <w:top w:w="28" w:type="dxa"/>
              <w:left w:w="28" w:type="dxa"/>
            </w:tcMar>
          </w:tcPr>
          <w:p w14:paraId="3E18F888"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HIL</w:t>
            </w:r>
          </w:p>
        </w:tc>
        <w:tc>
          <w:tcPr>
            <w:tcW w:w="4111" w:type="dxa"/>
            <w:tcMar>
              <w:top w:w="28" w:type="dxa"/>
              <w:left w:w="28" w:type="dxa"/>
            </w:tcMar>
          </w:tcPr>
          <w:p w14:paraId="5F035D22"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Oregon-2024-Yearly. Carbon Intensity Data (April 3, 2025).</w:t>
            </w:r>
          </w:p>
        </w:tc>
        <w:tc>
          <w:tcPr>
            <w:tcW w:w="1548" w:type="dxa"/>
            <w:tcMar>
              <w:top w:w="28" w:type="dxa"/>
              <w:left w:w="28" w:type="dxa"/>
            </w:tcMar>
          </w:tcPr>
          <w:p w14:paraId="1F18D87D"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0.0127</w:t>
            </w:r>
          </w:p>
        </w:tc>
        <w:tc>
          <w:tcPr>
            <w:tcW w:w="862" w:type="dxa"/>
            <w:tcMar>
              <w:top w:w="28" w:type="dxa"/>
              <w:left w:w="28" w:type="dxa"/>
            </w:tcMar>
          </w:tcPr>
          <w:p w14:paraId="173605E9"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1.35</w:t>
            </w:r>
          </w:p>
        </w:tc>
        <w:tc>
          <w:tcPr>
            <w:tcW w:w="992" w:type="dxa"/>
            <w:tcMar>
              <w:top w:w="28" w:type="dxa"/>
              <w:left w:w="28" w:type="dxa"/>
            </w:tcMar>
          </w:tcPr>
          <w:p w14:paraId="0E8D6E99"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0.53</w:t>
            </w:r>
          </w:p>
        </w:tc>
      </w:tr>
      <w:tr w:rsidR="00247C47" w14:paraId="6C8ECC76"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62D8AAD6" w14:textId="77777777" w:rsidR="00DB4D57" w:rsidRDefault="00000000">
            <w:pPr>
              <w:pStyle w:val="Contents1"/>
            </w:pPr>
            <w:r>
              <w:t>Limburg</w:t>
            </w:r>
          </w:p>
        </w:tc>
        <w:tc>
          <w:tcPr>
            <w:tcW w:w="850" w:type="dxa"/>
            <w:tcMar>
              <w:top w:w="28" w:type="dxa"/>
              <w:left w:w="28" w:type="dxa"/>
            </w:tcMar>
          </w:tcPr>
          <w:p w14:paraId="2D1EC9FB"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LIM</w:t>
            </w:r>
          </w:p>
        </w:tc>
        <w:tc>
          <w:tcPr>
            <w:tcW w:w="4111" w:type="dxa"/>
            <w:tcMar>
              <w:top w:w="28" w:type="dxa"/>
              <w:left w:w="28" w:type="dxa"/>
            </w:tcMar>
          </w:tcPr>
          <w:p w14:paraId="11376DCA"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Germany-2024-Yearly. Carbon Intensity Data (April 3, 2025).</w:t>
            </w:r>
          </w:p>
        </w:tc>
        <w:tc>
          <w:tcPr>
            <w:tcW w:w="1548" w:type="dxa"/>
            <w:tcMar>
              <w:top w:w="28" w:type="dxa"/>
              <w:left w:w="28" w:type="dxa"/>
            </w:tcMar>
          </w:tcPr>
          <w:p w14:paraId="167B9C6D"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0.0216</w:t>
            </w:r>
          </w:p>
        </w:tc>
        <w:tc>
          <w:tcPr>
            <w:tcW w:w="862" w:type="dxa"/>
            <w:tcMar>
              <w:top w:w="28" w:type="dxa"/>
              <w:left w:w="28" w:type="dxa"/>
            </w:tcMar>
          </w:tcPr>
          <w:p w14:paraId="1F2CC45C"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1.24</w:t>
            </w:r>
          </w:p>
        </w:tc>
        <w:tc>
          <w:tcPr>
            <w:tcW w:w="992" w:type="dxa"/>
            <w:tcMar>
              <w:top w:w="28" w:type="dxa"/>
              <w:left w:w="28" w:type="dxa"/>
            </w:tcMar>
          </w:tcPr>
          <w:p w14:paraId="1375D132"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0.35</w:t>
            </w:r>
          </w:p>
        </w:tc>
      </w:tr>
      <w:tr w:rsidR="00247C47" w14:paraId="4D9B64EA"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29E7217D" w14:textId="77777777" w:rsidR="00DB4D57" w:rsidRDefault="00000000">
            <w:pPr>
              <w:pStyle w:val="Contents1"/>
            </w:pPr>
            <w:r>
              <w:t>Roubaix</w:t>
            </w:r>
          </w:p>
        </w:tc>
        <w:tc>
          <w:tcPr>
            <w:tcW w:w="850" w:type="dxa"/>
            <w:tcMar>
              <w:top w:w="28" w:type="dxa"/>
              <w:left w:w="28" w:type="dxa"/>
            </w:tcMar>
          </w:tcPr>
          <w:p w14:paraId="22FC8656"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RBX</w:t>
            </w:r>
          </w:p>
        </w:tc>
        <w:tc>
          <w:tcPr>
            <w:tcW w:w="4111" w:type="dxa"/>
            <w:tcMar>
              <w:top w:w="28" w:type="dxa"/>
              <w:left w:w="28" w:type="dxa"/>
            </w:tcMar>
          </w:tcPr>
          <w:p w14:paraId="4CBA677C"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France-2024-Yearly. Carbon Intensity Data (April 3, 2025).</w:t>
            </w:r>
          </w:p>
        </w:tc>
        <w:tc>
          <w:tcPr>
            <w:tcW w:w="1548" w:type="dxa"/>
            <w:tcMar>
              <w:top w:w="28" w:type="dxa"/>
              <w:left w:w="28" w:type="dxa"/>
            </w:tcMar>
          </w:tcPr>
          <w:p w14:paraId="2620DC83"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0.0349</w:t>
            </w:r>
          </w:p>
        </w:tc>
        <w:tc>
          <w:tcPr>
            <w:tcW w:w="862" w:type="dxa"/>
            <w:tcMar>
              <w:top w:w="28" w:type="dxa"/>
              <w:left w:w="28" w:type="dxa"/>
            </w:tcMar>
          </w:tcPr>
          <w:p w14:paraId="55B8469C"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1.29</w:t>
            </w:r>
          </w:p>
        </w:tc>
        <w:tc>
          <w:tcPr>
            <w:tcW w:w="992" w:type="dxa"/>
            <w:tcMar>
              <w:top w:w="28" w:type="dxa"/>
              <w:left w:w="28" w:type="dxa"/>
            </w:tcMar>
          </w:tcPr>
          <w:p w14:paraId="1979B148"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0.39</w:t>
            </w:r>
          </w:p>
        </w:tc>
      </w:tr>
      <w:tr w:rsidR="00247C47" w14:paraId="2E2E1DF0"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6C92CC21" w14:textId="77777777" w:rsidR="00DB4D57" w:rsidRDefault="00000000">
            <w:pPr>
              <w:pStyle w:val="Contents1"/>
            </w:pPr>
            <w:r>
              <w:t>Strasbourg</w:t>
            </w:r>
          </w:p>
        </w:tc>
        <w:tc>
          <w:tcPr>
            <w:tcW w:w="850" w:type="dxa"/>
            <w:tcMar>
              <w:top w:w="28" w:type="dxa"/>
              <w:left w:w="28" w:type="dxa"/>
            </w:tcMar>
          </w:tcPr>
          <w:p w14:paraId="56ADF7F0"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SBG</w:t>
            </w:r>
          </w:p>
        </w:tc>
        <w:tc>
          <w:tcPr>
            <w:tcW w:w="4111" w:type="dxa"/>
            <w:tcMar>
              <w:top w:w="28" w:type="dxa"/>
              <w:left w:w="28" w:type="dxa"/>
            </w:tcMar>
          </w:tcPr>
          <w:p w14:paraId="6B0D85E1"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France-2024-Yearly. Carbon Intensity Data (April 3, 2025).</w:t>
            </w:r>
          </w:p>
        </w:tc>
        <w:tc>
          <w:tcPr>
            <w:tcW w:w="1548" w:type="dxa"/>
            <w:tcMar>
              <w:top w:w="28" w:type="dxa"/>
              <w:left w:w="28" w:type="dxa"/>
            </w:tcMar>
          </w:tcPr>
          <w:p w14:paraId="00D604D3"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0.0349</w:t>
            </w:r>
          </w:p>
        </w:tc>
        <w:tc>
          <w:tcPr>
            <w:tcW w:w="862" w:type="dxa"/>
            <w:tcMar>
              <w:top w:w="28" w:type="dxa"/>
              <w:left w:w="28" w:type="dxa"/>
            </w:tcMar>
          </w:tcPr>
          <w:p w14:paraId="2D83BE56"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1.21</w:t>
            </w:r>
          </w:p>
        </w:tc>
        <w:tc>
          <w:tcPr>
            <w:tcW w:w="992" w:type="dxa"/>
            <w:tcMar>
              <w:top w:w="28" w:type="dxa"/>
              <w:left w:w="28" w:type="dxa"/>
            </w:tcMar>
          </w:tcPr>
          <w:p w14:paraId="3229BF1D"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0.50</w:t>
            </w:r>
          </w:p>
        </w:tc>
      </w:tr>
      <w:tr w:rsidR="00247C47" w14:paraId="552DDD8D"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069580A9" w14:textId="77777777" w:rsidR="00DB4D57" w:rsidRDefault="00000000">
            <w:pPr>
              <w:pStyle w:val="Contents1"/>
            </w:pPr>
            <w:r>
              <w:t>Vint Hill</w:t>
            </w:r>
          </w:p>
        </w:tc>
        <w:tc>
          <w:tcPr>
            <w:tcW w:w="850" w:type="dxa"/>
            <w:tcMar>
              <w:top w:w="28" w:type="dxa"/>
              <w:left w:w="28" w:type="dxa"/>
            </w:tcMar>
          </w:tcPr>
          <w:p w14:paraId="3075894F"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WINE</w:t>
            </w:r>
          </w:p>
        </w:tc>
        <w:tc>
          <w:tcPr>
            <w:tcW w:w="4111" w:type="dxa"/>
            <w:tcMar>
              <w:top w:w="28" w:type="dxa"/>
              <w:left w:w="28" w:type="dxa"/>
            </w:tcMar>
          </w:tcPr>
          <w:p w14:paraId="2821567B"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Virginia-2024-Yearly. Carbon Intensity Data (April 3, 2025).</w:t>
            </w:r>
          </w:p>
        </w:tc>
        <w:tc>
          <w:tcPr>
            <w:tcW w:w="1548" w:type="dxa"/>
            <w:tcMar>
              <w:top w:w="28" w:type="dxa"/>
              <w:left w:w="28" w:type="dxa"/>
            </w:tcMar>
          </w:tcPr>
          <w:p w14:paraId="21FF866A"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0.4211</w:t>
            </w:r>
          </w:p>
        </w:tc>
        <w:tc>
          <w:tcPr>
            <w:tcW w:w="862" w:type="dxa"/>
            <w:tcMar>
              <w:top w:w="28" w:type="dxa"/>
              <w:left w:w="28" w:type="dxa"/>
            </w:tcMar>
          </w:tcPr>
          <w:p w14:paraId="62D4448B"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1.39</w:t>
            </w:r>
          </w:p>
        </w:tc>
        <w:tc>
          <w:tcPr>
            <w:tcW w:w="992" w:type="dxa"/>
            <w:tcMar>
              <w:top w:w="28" w:type="dxa"/>
              <w:left w:w="28" w:type="dxa"/>
            </w:tcMar>
          </w:tcPr>
          <w:p w14:paraId="04567B41"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0.10</w:t>
            </w:r>
          </w:p>
        </w:tc>
      </w:tr>
      <w:tr w:rsidR="00247C47" w14:paraId="63BAE8B6" w14:textId="77777777" w:rsidTr="00315CA6">
        <w:trPr>
          <w:trHeight w:val="624"/>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04C313F4" w14:textId="77777777" w:rsidR="00DB4D57" w:rsidRDefault="00000000">
            <w:pPr>
              <w:pStyle w:val="Contents1"/>
            </w:pPr>
            <w:r>
              <w:t>Warsaw</w:t>
            </w:r>
          </w:p>
        </w:tc>
        <w:tc>
          <w:tcPr>
            <w:tcW w:w="850" w:type="dxa"/>
            <w:tcMar>
              <w:top w:w="28" w:type="dxa"/>
              <w:left w:w="28" w:type="dxa"/>
            </w:tcMar>
          </w:tcPr>
          <w:p w14:paraId="4AE138FA"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WAW</w:t>
            </w:r>
          </w:p>
        </w:tc>
        <w:tc>
          <w:tcPr>
            <w:tcW w:w="4111" w:type="dxa"/>
            <w:tcMar>
              <w:top w:w="28" w:type="dxa"/>
              <w:left w:w="28" w:type="dxa"/>
            </w:tcMar>
          </w:tcPr>
          <w:p w14:paraId="3D53B7A5" w14:textId="77777777" w:rsidR="00DB4D57" w:rsidRDefault="00000000">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Poland-2024-Yearly. Carbon Intensity Data (April 3, 2025).</w:t>
            </w:r>
          </w:p>
        </w:tc>
        <w:tc>
          <w:tcPr>
            <w:tcW w:w="1548" w:type="dxa"/>
            <w:tcMar>
              <w:top w:w="28" w:type="dxa"/>
              <w:left w:w="28" w:type="dxa"/>
            </w:tcMar>
          </w:tcPr>
          <w:p w14:paraId="4FB91333"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0.0128</w:t>
            </w:r>
          </w:p>
        </w:tc>
        <w:tc>
          <w:tcPr>
            <w:tcW w:w="862" w:type="dxa"/>
            <w:tcMar>
              <w:top w:w="28" w:type="dxa"/>
              <w:left w:w="28" w:type="dxa"/>
            </w:tcMar>
          </w:tcPr>
          <w:p w14:paraId="0A2278B4" w14:textId="77777777" w:rsidR="00DB4D57" w:rsidRDefault="00000000">
            <w:pPr>
              <w:pStyle w:val="Contents2"/>
              <w:jc w:val="center"/>
              <w:cnfStyle w:val="000000000000" w:firstRow="0" w:lastRow="0" w:firstColumn="0" w:lastColumn="0" w:oddVBand="0" w:evenVBand="0" w:oddHBand="0" w:evenHBand="0" w:firstRowFirstColumn="0" w:firstRowLastColumn="0" w:lastRowFirstColumn="0" w:lastRowLastColumn="0"/>
            </w:pPr>
            <w:r>
              <w:t>1.25</w:t>
            </w:r>
          </w:p>
        </w:tc>
        <w:tc>
          <w:tcPr>
            <w:tcW w:w="992" w:type="dxa"/>
            <w:tcMar>
              <w:top w:w="28" w:type="dxa"/>
              <w:left w:w="28" w:type="dxa"/>
            </w:tcMar>
          </w:tcPr>
          <w:p w14:paraId="677D3774" w14:textId="77777777" w:rsidR="00DB4D57" w:rsidRDefault="00000000" w:rsidP="00085BF0">
            <w:pPr>
              <w:pStyle w:val="Contents2"/>
              <w:keepNext/>
              <w:jc w:val="center"/>
              <w:cnfStyle w:val="000000000000" w:firstRow="0" w:lastRow="0" w:firstColumn="0" w:lastColumn="0" w:oddVBand="0" w:evenVBand="0" w:oddHBand="0" w:evenHBand="0" w:firstRowFirstColumn="0" w:firstRowLastColumn="0" w:lastRowFirstColumn="0" w:lastRowLastColumn="0"/>
            </w:pPr>
            <w:r>
              <w:t>0.60</w:t>
            </w:r>
          </w:p>
        </w:tc>
      </w:tr>
    </w:tbl>
    <w:p w14:paraId="498B1A33" w14:textId="2E2F417A" w:rsidR="00085BF0" w:rsidRDefault="00085BF0" w:rsidP="00085BF0">
      <w:pPr>
        <w:pStyle w:val="Lgende"/>
        <w:framePr w:hSpace="141" w:wrap="around" w:vAnchor="text" w:hAnchor="page" w:x="3474" w:y="5"/>
      </w:pPr>
      <w:bookmarkStart w:id="39" w:name="_Toc202948845"/>
      <w:bookmarkEnd w:id="37"/>
      <w:bookmarkEnd w:id="38"/>
      <w:r>
        <w:t xml:space="preserve">Table </w:t>
      </w:r>
      <w:fldSimple w:instr=" SEQ Table \* ARABIC ">
        <w:r w:rsidR="00137477">
          <w:rPr>
            <w:noProof/>
          </w:rPr>
          <w:t>2</w:t>
        </w:r>
      </w:fldSimple>
      <w:r>
        <w:t xml:space="preserve"> - </w:t>
      </w:r>
      <w:r w:rsidRPr="00C23CFC">
        <w:t>GHG intensity of electricity mix where OVHcloud operate</w:t>
      </w:r>
      <w:bookmarkEnd w:id="39"/>
    </w:p>
    <w:p w14:paraId="337239D9" w14:textId="77777777" w:rsidR="00592C04" w:rsidRPr="00592C04" w:rsidRDefault="00592C04" w:rsidP="00592C04"/>
    <w:p w14:paraId="75316C79" w14:textId="77777777" w:rsidR="00592C04" w:rsidRPr="001746E1" w:rsidRDefault="00592C04" w:rsidP="00592C04">
      <w:pPr>
        <w:rPr>
          <w:sz w:val="6"/>
          <w:szCs w:val="6"/>
        </w:rPr>
      </w:pPr>
    </w:p>
    <w:tbl>
      <w:tblPr>
        <w:tblStyle w:val="TableauGrille1Clair-Accentuation1"/>
        <w:tblW w:w="10201" w:type="dxa"/>
        <w:jc w:val="center"/>
        <w:tblLayout w:type="fixed"/>
        <w:tblCellMar>
          <w:left w:w="0" w:type="dxa"/>
          <w:right w:w="0" w:type="dxa"/>
        </w:tblCellMar>
        <w:tblLook w:val="04A0" w:firstRow="1" w:lastRow="0" w:firstColumn="1" w:lastColumn="0" w:noHBand="0" w:noVBand="1"/>
      </w:tblPr>
      <w:tblGrid>
        <w:gridCol w:w="1555"/>
        <w:gridCol w:w="850"/>
        <w:gridCol w:w="4111"/>
        <w:gridCol w:w="1548"/>
        <w:gridCol w:w="2137"/>
      </w:tblGrid>
      <w:tr w:rsidR="00592C04" w:rsidRPr="0056702E" w14:paraId="302917C9" w14:textId="77777777" w:rsidTr="00592C04">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05" w:type="dxa"/>
            <w:gridSpan w:val="2"/>
            <w:tcMar>
              <w:top w:w="28" w:type="dxa"/>
              <w:left w:w="28" w:type="dxa"/>
            </w:tcMar>
            <w:vAlign w:val="center"/>
          </w:tcPr>
          <w:p w14:paraId="56D877E3" w14:textId="77777777" w:rsidR="00592C04" w:rsidRDefault="00592C04" w:rsidP="00592C04">
            <w:pPr>
              <w:pStyle w:val="ContentsHeading"/>
              <w:framePr w:hSpace="0" w:wrap="auto" w:vAnchor="margin" w:hAnchor="text" w:xAlign="left" w:yAlign="inline"/>
            </w:pPr>
            <w:r>
              <w:t>Co-location datacentre</w:t>
            </w:r>
          </w:p>
        </w:tc>
        <w:tc>
          <w:tcPr>
            <w:tcW w:w="4111" w:type="dxa"/>
            <w:tcMar>
              <w:top w:w="28" w:type="dxa"/>
              <w:left w:w="28" w:type="dxa"/>
            </w:tcMar>
          </w:tcPr>
          <w:p w14:paraId="497C1C87" w14:textId="77777777" w:rsidR="00592C04" w:rsidRPr="00F264F4" w:rsidRDefault="00592C04" w:rsidP="00592C04">
            <w:pPr>
              <w:pStyle w:val="En-ttedetabledesmatires"/>
              <w:cnfStyle w:val="100000000000" w:firstRow="1" w:lastRow="0" w:firstColumn="0" w:lastColumn="0" w:oddVBand="0" w:evenVBand="0" w:oddHBand="0" w:evenHBand="0" w:firstRowFirstColumn="0" w:firstRowLastColumn="0" w:lastRowFirstColumn="0" w:lastRowLastColumn="0"/>
              <w:rPr>
                <w:sz w:val="21"/>
                <w:szCs w:val="21"/>
              </w:rPr>
            </w:pPr>
          </w:p>
          <w:p w14:paraId="395F3173" w14:textId="77777777" w:rsidR="00592C04" w:rsidRDefault="00592C04" w:rsidP="00592C04">
            <w:pPr>
              <w:pStyle w:val="Contents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b w:val="0"/>
                <w:bCs/>
              </w:rPr>
            </w:pPr>
            <w:r>
              <w:rPr>
                <w:bCs/>
              </w:rPr>
              <w:t>Source of electrical emission factors</w:t>
            </w:r>
          </w:p>
          <w:p w14:paraId="13F8CA6B" w14:textId="77777777" w:rsidR="00592C04" w:rsidRDefault="00592C04" w:rsidP="00592C04">
            <w:pPr>
              <w:pStyle w:val="Contents1"/>
              <w:cnfStyle w:val="100000000000" w:firstRow="1" w:lastRow="0" w:firstColumn="0" w:lastColumn="0" w:oddVBand="0" w:evenVBand="0" w:oddHBand="0" w:evenHBand="0" w:firstRowFirstColumn="0" w:firstRowLastColumn="0" w:lastRowFirstColumn="0" w:lastRowLastColumn="0"/>
            </w:pPr>
            <w:r>
              <w:t>Rental-based</w:t>
            </w:r>
            <w:r w:rsidRPr="00BC4027">
              <w:rPr>
                <w:vertAlign w:val="superscript"/>
              </w:rPr>
              <w:footnoteReference w:id="3"/>
            </w:r>
          </w:p>
        </w:tc>
        <w:tc>
          <w:tcPr>
            <w:tcW w:w="1548" w:type="dxa"/>
            <w:tcMar>
              <w:top w:w="28" w:type="dxa"/>
              <w:left w:w="28" w:type="dxa"/>
            </w:tcMar>
          </w:tcPr>
          <w:p w14:paraId="4A7A22D8" w14:textId="77777777" w:rsidR="00592C04" w:rsidRDefault="00592C04" w:rsidP="00592C04">
            <w:pPr>
              <w:pStyle w:val="En-ttedetabledesmatires"/>
              <w:cnfStyle w:val="100000000000" w:firstRow="1" w:lastRow="0" w:firstColumn="0" w:lastColumn="0" w:oddVBand="0" w:evenVBand="0" w:oddHBand="0" w:evenHBand="0" w:firstRowFirstColumn="0" w:firstRowLastColumn="0" w:lastRowFirstColumn="0" w:lastRowLastColumn="0"/>
              <w:rPr>
                <w:b/>
                <w:bCs/>
              </w:rPr>
            </w:pPr>
            <w:r>
              <w:rPr>
                <w:b/>
                <w:bCs/>
              </w:rPr>
              <w:t>Electrical emission factors</w:t>
            </w:r>
          </w:p>
          <w:p w14:paraId="4A97863E" w14:textId="77777777" w:rsidR="00592C04" w:rsidRDefault="00592C04" w:rsidP="00592C04">
            <w:pPr>
              <w:pStyle w:val="Contents1"/>
              <w:cnfStyle w:val="100000000000" w:firstRow="1" w:lastRow="0" w:firstColumn="0" w:lastColumn="0" w:oddVBand="0" w:evenVBand="0" w:oddHBand="0" w:evenHBand="0" w:firstRowFirstColumn="0" w:firstRowLastColumn="0" w:lastRowFirstColumn="0" w:lastRowLastColumn="0"/>
            </w:pPr>
            <w:r>
              <w:t>Market-based</w:t>
            </w:r>
          </w:p>
          <w:p w14:paraId="3205E732" w14:textId="77777777" w:rsidR="00592C04" w:rsidRDefault="00592C04" w:rsidP="00592C04">
            <w:pPr>
              <w:pStyle w:val="Sansinterligne"/>
              <w:jc w:val="center"/>
              <w:cnfStyle w:val="100000000000" w:firstRow="1" w:lastRow="0" w:firstColumn="0" w:lastColumn="0" w:oddVBand="0" w:evenVBand="0" w:oddHBand="0" w:evenHBand="0" w:firstRowFirstColumn="0" w:firstRowLastColumn="0" w:lastRowFirstColumn="0" w:lastRowLastColumn="0"/>
            </w:pPr>
            <w:r>
              <w:rPr>
                <w:rFonts w:asciiTheme="majorHAnsi" w:eastAsiaTheme="majorEastAsia" w:hAnsiTheme="majorHAnsi" w:cstheme="majorBidi"/>
                <w:b w:val="0"/>
                <w:bCs w:val="0"/>
                <w:i/>
                <w:iCs/>
                <w:color w:val="000000" w:themeColor="text1"/>
                <w:kern w:val="0"/>
                <w:sz w:val="20"/>
                <w:szCs w:val="20"/>
                <w:shd w:val="clear" w:color="auto" w:fill="auto"/>
              </w:rPr>
              <w:t>kg CO</w:t>
            </w:r>
            <w:r>
              <w:rPr>
                <w:rFonts w:asciiTheme="majorHAnsi" w:eastAsiaTheme="majorEastAsia" w:hAnsiTheme="majorHAnsi" w:cstheme="majorBidi"/>
                <w:b w:val="0"/>
                <w:bCs w:val="0"/>
                <w:i/>
                <w:iCs/>
                <w:color w:val="000000" w:themeColor="text1"/>
                <w:kern w:val="0"/>
                <w:sz w:val="20"/>
                <w:szCs w:val="20"/>
                <w:shd w:val="clear" w:color="auto" w:fill="auto"/>
                <w:vertAlign w:val="subscript"/>
              </w:rPr>
              <w:t>2</w:t>
            </w:r>
            <w:r>
              <w:rPr>
                <w:rFonts w:asciiTheme="majorHAnsi" w:eastAsiaTheme="majorEastAsia" w:hAnsiTheme="majorHAnsi" w:cstheme="majorBidi"/>
                <w:b w:val="0"/>
                <w:bCs w:val="0"/>
                <w:i/>
                <w:iCs/>
                <w:color w:val="000000" w:themeColor="text1"/>
                <w:kern w:val="0"/>
                <w:sz w:val="20"/>
                <w:szCs w:val="20"/>
                <w:shd w:val="clear" w:color="auto" w:fill="auto"/>
              </w:rPr>
              <w:t>eq/kWh</w:t>
            </w:r>
          </w:p>
        </w:tc>
        <w:tc>
          <w:tcPr>
            <w:tcW w:w="2137" w:type="dxa"/>
            <w:tcMar>
              <w:top w:w="28" w:type="dxa"/>
              <w:left w:w="28" w:type="dxa"/>
            </w:tcMar>
            <w:vAlign w:val="center"/>
          </w:tcPr>
          <w:p w14:paraId="27832782" w14:textId="77777777" w:rsidR="00592C04" w:rsidRDefault="00592C04" w:rsidP="00592C04">
            <w:pPr>
              <w:pStyle w:val="En-ttedetabledesmatires"/>
              <w:cnfStyle w:val="100000000000" w:firstRow="1" w:lastRow="0" w:firstColumn="0" w:lastColumn="0" w:oddVBand="0" w:evenVBand="0" w:oddHBand="0" w:evenHBand="0" w:firstRowFirstColumn="0" w:firstRowLastColumn="0" w:lastRowFirstColumn="0" w:lastRowLastColumn="0"/>
              <w:rPr>
                <w:b/>
                <w:bCs/>
              </w:rPr>
            </w:pPr>
            <w:r>
              <w:rPr>
                <w:b/>
                <w:bCs/>
              </w:rPr>
              <w:t>PUE</w:t>
            </w:r>
          </w:p>
          <w:p w14:paraId="6D8F5E7F" w14:textId="77777777" w:rsidR="00592C04" w:rsidRDefault="00592C04" w:rsidP="00592C04">
            <w:pPr>
              <w:pStyle w:val="En-ttedetabledesmatires"/>
              <w:cnfStyle w:val="100000000000" w:firstRow="1" w:lastRow="0" w:firstColumn="0" w:lastColumn="0" w:oddVBand="0" w:evenVBand="0" w:oddHBand="0" w:evenHBand="0" w:firstRowFirstColumn="0" w:firstRowLastColumn="0" w:lastRowFirstColumn="0" w:lastRowLastColumn="0"/>
              <w:rPr>
                <w:b/>
                <w:bCs/>
              </w:rPr>
            </w:pPr>
            <w:r>
              <w:rPr>
                <w:rFonts w:ascii="Source Sans Pro Black" w:eastAsia="Source Sans Pro Black" w:hAnsi="Source Sans Pro Black" w:cs="Source Sans Pro Black"/>
                <w:i/>
                <w:iCs/>
                <w:kern w:val="3"/>
                <w:sz w:val="20"/>
                <w:szCs w:val="18"/>
              </w:rPr>
              <w:t>News release</w:t>
            </w:r>
          </w:p>
        </w:tc>
      </w:tr>
      <w:tr w:rsidR="00592C04" w:rsidRPr="0056702E" w14:paraId="770F1FFD" w14:textId="77777777" w:rsidTr="00592C04">
        <w:trPr>
          <w:trHeight w:val="624"/>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9CC2E5" w:themeColor="accent5" w:themeTint="99"/>
            </w:tcBorders>
            <w:tcMar>
              <w:top w:w="28" w:type="dxa"/>
              <w:left w:w="28" w:type="dxa"/>
            </w:tcMar>
            <w:vAlign w:val="center"/>
          </w:tcPr>
          <w:p w14:paraId="33825835" w14:textId="77777777" w:rsidR="00592C04" w:rsidRDefault="00592C04" w:rsidP="00592C04">
            <w:pPr>
              <w:pStyle w:val="Contents1"/>
            </w:pPr>
            <w:r>
              <w:t>Mumbai</w:t>
            </w:r>
          </w:p>
        </w:tc>
        <w:tc>
          <w:tcPr>
            <w:tcW w:w="850" w:type="dxa"/>
            <w:tcBorders>
              <w:bottom w:val="single" w:sz="4" w:space="0" w:color="9CC2E5" w:themeColor="accent5" w:themeTint="99"/>
            </w:tcBorders>
            <w:tcMar>
              <w:top w:w="28" w:type="dxa"/>
              <w:left w:w="28" w:type="dxa"/>
            </w:tcMar>
            <w:vAlign w:val="center"/>
          </w:tcPr>
          <w:p w14:paraId="2A7EA918" w14:textId="77777777" w:rsidR="00592C04" w:rsidRDefault="00592C04" w:rsidP="00592C04">
            <w:pPr>
              <w:jc w:val="center"/>
              <w:cnfStyle w:val="000000000000" w:firstRow="0" w:lastRow="0" w:firstColumn="0" w:lastColumn="0" w:oddVBand="0" w:evenVBand="0" w:oddHBand="0" w:evenHBand="0" w:firstRowFirstColumn="0" w:firstRowLastColumn="0" w:lastRowFirstColumn="0" w:lastRowLastColumn="0"/>
            </w:pPr>
            <w:r>
              <w:t>MUM</w:t>
            </w:r>
          </w:p>
        </w:tc>
        <w:tc>
          <w:tcPr>
            <w:tcW w:w="4111" w:type="dxa"/>
            <w:tcBorders>
              <w:bottom w:val="single" w:sz="4" w:space="0" w:color="9CC2E5" w:themeColor="accent5" w:themeTint="99"/>
            </w:tcBorders>
            <w:tcMar>
              <w:top w:w="28" w:type="dxa"/>
              <w:left w:w="28" w:type="dxa"/>
            </w:tcMar>
            <w:vAlign w:val="center"/>
          </w:tcPr>
          <w:p w14:paraId="5829CE44" w14:textId="77777777" w:rsidR="00592C04" w:rsidRDefault="00592C04" w:rsidP="00592C04">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Western-India-2024-Yearly. Carbon Intensity Data (April 3, 2025).</w:t>
            </w:r>
          </w:p>
        </w:tc>
        <w:tc>
          <w:tcPr>
            <w:tcW w:w="1548" w:type="dxa"/>
            <w:vMerge w:val="restart"/>
            <w:tcMar>
              <w:top w:w="28" w:type="dxa"/>
              <w:left w:w="28" w:type="dxa"/>
            </w:tcMar>
            <w:vAlign w:val="center"/>
          </w:tcPr>
          <w:p w14:paraId="56DAEAA8" w14:textId="77777777" w:rsidR="00592C04" w:rsidRPr="00ED7E8C" w:rsidRDefault="00592C04" w:rsidP="00592C04">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kern w:val="3"/>
                <w:sz w:val="21"/>
                <w:szCs w:val="21"/>
                <w:lang w:eastAsia="zh-CN" w:bidi="hi-IN"/>
              </w:rPr>
            </w:pPr>
          </w:p>
          <w:p w14:paraId="276914B6" w14:textId="77777777" w:rsidR="00592C04" w:rsidRDefault="00592C04" w:rsidP="00592C04">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kern w:val="3"/>
                <w:sz w:val="21"/>
                <w:szCs w:val="21"/>
                <w:lang w:eastAsia="zh-CN" w:bidi="hi-IN"/>
              </w:rPr>
            </w:pPr>
            <w:r>
              <w:rPr>
                <w:rFonts w:eastAsia="Source Sans Pro" w:cs="Source Sans Pro"/>
                <w:kern w:val="3"/>
                <w:sz w:val="21"/>
                <w:szCs w:val="21"/>
              </w:rPr>
              <w:t>Same as location-based power emission factor</w:t>
            </w:r>
          </w:p>
          <w:p w14:paraId="054C5041" w14:textId="77777777" w:rsidR="00592C04" w:rsidRPr="0056702E" w:rsidRDefault="00592C04" w:rsidP="00592C04">
            <w:pPr>
              <w:jc w:val="center"/>
              <w:cnfStyle w:val="000000000000" w:firstRow="0" w:lastRow="0" w:firstColumn="0" w:lastColumn="0" w:oddVBand="0" w:evenVBand="0" w:oddHBand="0" w:evenHBand="0" w:firstRowFirstColumn="0" w:firstRowLastColumn="0" w:lastRowFirstColumn="0" w:lastRowLastColumn="0"/>
            </w:pPr>
          </w:p>
        </w:tc>
        <w:tc>
          <w:tcPr>
            <w:tcW w:w="2137" w:type="dxa"/>
            <w:tcBorders>
              <w:bottom w:val="single" w:sz="4" w:space="0" w:color="9CC2E5" w:themeColor="accent5" w:themeTint="99"/>
            </w:tcBorders>
            <w:tcMar>
              <w:top w:w="28" w:type="dxa"/>
              <w:left w:w="28" w:type="dxa"/>
            </w:tcMar>
            <w:vAlign w:val="center"/>
          </w:tcPr>
          <w:p w14:paraId="5BAF81B0" w14:textId="77777777" w:rsidR="00592C04" w:rsidRDefault="00592C04" w:rsidP="00592C04">
            <w:pPr>
              <w:pStyle w:val="Contents1"/>
              <w:cnfStyle w:val="000000000000" w:firstRow="0" w:lastRow="0" w:firstColumn="0" w:lastColumn="0" w:oddVBand="0" w:evenVBand="0" w:oddHBand="0" w:evenHBand="0" w:firstRowFirstColumn="0" w:firstRowLastColumn="0" w:lastRowFirstColumn="0" w:lastRowLastColumn="0"/>
            </w:pPr>
            <w:r>
              <w:t>1.58</w:t>
            </w:r>
          </w:p>
        </w:tc>
      </w:tr>
      <w:tr w:rsidR="00592C04" w:rsidRPr="0056702E" w14:paraId="21CA1C0C" w14:textId="77777777" w:rsidTr="00592C04">
        <w:trPr>
          <w:trHeight w:val="624"/>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5" w:themeTint="99"/>
            </w:tcBorders>
            <w:tcMar>
              <w:top w:w="28" w:type="dxa"/>
              <w:left w:w="28" w:type="dxa"/>
            </w:tcMar>
            <w:vAlign w:val="center"/>
          </w:tcPr>
          <w:p w14:paraId="1A4B320F" w14:textId="77777777" w:rsidR="00592C04" w:rsidRDefault="00592C04" w:rsidP="00592C04">
            <w:pPr>
              <w:pStyle w:val="Contents1"/>
            </w:pPr>
            <w:r>
              <w:t>Singapore</w:t>
            </w:r>
          </w:p>
        </w:tc>
        <w:tc>
          <w:tcPr>
            <w:tcW w:w="850" w:type="dxa"/>
            <w:tcBorders>
              <w:top w:val="single" w:sz="4" w:space="0" w:color="9CC2E5" w:themeColor="accent5" w:themeTint="99"/>
            </w:tcBorders>
            <w:tcMar>
              <w:top w:w="28" w:type="dxa"/>
              <w:left w:w="28" w:type="dxa"/>
            </w:tcMar>
            <w:vAlign w:val="center"/>
          </w:tcPr>
          <w:p w14:paraId="51CC3ABF" w14:textId="77777777" w:rsidR="00592C04" w:rsidRDefault="00592C04" w:rsidP="00592C04">
            <w:pPr>
              <w:jc w:val="center"/>
              <w:cnfStyle w:val="000000000000" w:firstRow="0" w:lastRow="0" w:firstColumn="0" w:lastColumn="0" w:oddVBand="0" w:evenVBand="0" w:oddHBand="0" w:evenHBand="0" w:firstRowFirstColumn="0" w:firstRowLastColumn="0" w:lastRowFirstColumn="0" w:lastRowLastColumn="0"/>
            </w:pPr>
            <w:r>
              <w:t>SGP</w:t>
            </w:r>
          </w:p>
        </w:tc>
        <w:tc>
          <w:tcPr>
            <w:tcW w:w="4111" w:type="dxa"/>
            <w:tcBorders>
              <w:top w:val="single" w:sz="4" w:space="0" w:color="9CC2E5" w:themeColor="accent5" w:themeTint="99"/>
            </w:tcBorders>
            <w:tcMar>
              <w:top w:w="28" w:type="dxa"/>
              <w:left w:w="28" w:type="dxa"/>
            </w:tcMar>
            <w:vAlign w:val="center"/>
          </w:tcPr>
          <w:p w14:paraId="22F68E4D" w14:textId="77777777" w:rsidR="00592C04" w:rsidRDefault="00592C04" w:rsidP="00592C04">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Singapore-2024-Yearly. Carbon Intensity Data (April 3, 2025).</w:t>
            </w:r>
          </w:p>
        </w:tc>
        <w:tc>
          <w:tcPr>
            <w:tcW w:w="1548" w:type="dxa"/>
            <w:vMerge/>
            <w:tcMar>
              <w:top w:w="28" w:type="dxa"/>
              <w:left w:w="28" w:type="dxa"/>
            </w:tcMar>
            <w:vAlign w:val="center"/>
          </w:tcPr>
          <w:p w14:paraId="67BDDC70" w14:textId="77777777" w:rsidR="00592C04" w:rsidRPr="0056702E" w:rsidRDefault="00592C04" w:rsidP="00592C04">
            <w:pPr>
              <w:jc w:val="center"/>
              <w:cnfStyle w:val="000000000000" w:firstRow="0" w:lastRow="0" w:firstColumn="0" w:lastColumn="0" w:oddVBand="0" w:evenVBand="0" w:oddHBand="0" w:evenHBand="0" w:firstRowFirstColumn="0" w:firstRowLastColumn="0" w:lastRowFirstColumn="0" w:lastRowLastColumn="0"/>
            </w:pPr>
          </w:p>
        </w:tc>
        <w:tc>
          <w:tcPr>
            <w:tcW w:w="2137" w:type="dxa"/>
            <w:tcBorders>
              <w:top w:val="single" w:sz="4" w:space="0" w:color="9CC2E5" w:themeColor="accent5" w:themeTint="99"/>
            </w:tcBorders>
            <w:tcMar>
              <w:top w:w="28" w:type="dxa"/>
              <w:left w:w="28" w:type="dxa"/>
            </w:tcMar>
            <w:vAlign w:val="center"/>
          </w:tcPr>
          <w:p w14:paraId="79BEA4ED" w14:textId="77777777" w:rsidR="00592C04" w:rsidRDefault="00592C04" w:rsidP="00592C04">
            <w:pPr>
              <w:pStyle w:val="Contents1"/>
              <w:cnfStyle w:val="000000000000" w:firstRow="0" w:lastRow="0" w:firstColumn="0" w:lastColumn="0" w:oddVBand="0" w:evenVBand="0" w:oddHBand="0" w:evenHBand="0" w:firstRowFirstColumn="0" w:firstRowLastColumn="0" w:lastRowFirstColumn="0" w:lastRowLastColumn="0"/>
            </w:pPr>
            <w:r>
              <w:t>1.72</w:t>
            </w:r>
          </w:p>
        </w:tc>
      </w:tr>
      <w:tr w:rsidR="00592C04" w:rsidRPr="0056702E" w14:paraId="7AC2C264" w14:textId="77777777" w:rsidTr="00592C04">
        <w:trPr>
          <w:trHeight w:val="624"/>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B4C6E7" w:themeColor="accent1" w:themeTint="66"/>
            </w:tcBorders>
            <w:tcMar>
              <w:top w:w="28" w:type="dxa"/>
              <w:left w:w="28" w:type="dxa"/>
            </w:tcMar>
            <w:vAlign w:val="center"/>
          </w:tcPr>
          <w:p w14:paraId="61A2CD40" w14:textId="77777777" w:rsidR="00592C04" w:rsidRDefault="00592C04" w:rsidP="00592C04">
            <w:pPr>
              <w:pStyle w:val="Contents1"/>
            </w:pPr>
            <w:r>
              <w:t>Sydney</w:t>
            </w:r>
          </w:p>
        </w:tc>
        <w:tc>
          <w:tcPr>
            <w:tcW w:w="850" w:type="dxa"/>
            <w:tcBorders>
              <w:bottom w:val="single" w:sz="4" w:space="0" w:color="B4C6E7" w:themeColor="accent1" w:themeTint="66"/>
            </w:tcBorders>
            <w:tcMar>
              <w:top w:w="28" w:type="dxa"/>
              <w:left w:w="28" w:type="dxa"/>
            </w:tcMar>
            <w:vAlign w:val="center"/>
          </w:tcPr>
          <w:p w14:paraId="3DA908BC" w14:textId="77777777" w:rsidR="00592C04" w:rsidRDefault="00592C04" w:rsidP="00592C04">
            <w:pPr>
              <w:jc w:val="center"/>
              <w:cnfStyle w:val="000000000000" w:firstRow="0" w:lastRow="0" w:firstColumn="0" w:lastColumn="0" w:oddVBand="0" w:evenVBand="0" w:oddHBand="0" w:evenHBand="0" w:firstRowFirstColumn="0" w:firstRowLastColumn="0" w:lastRowFirstColumn="0" w:lastRowLastColumn="0"/>
            </w:pPr>
            <w:r>
              <w:t>SYD</w:t>
            </w:r>
          </w:p>
        </w:tc>
        <w:tc>
          <w:tcPr>
            <w:tcW w:w="4111" w:type="dxa"/>
            <w:tcBorders>
              <w:bottom w:val="single" w:sz="4" w:space="0" w:color="B4C6E7" w:themeColor="accent1" w:themeTint="66"/>
            </w:tcBorders>
            <w:tcMar>
              <w:top w:w="28" w:type="dxa"/>
              <w:left w:w="28" w:type="dxa"/>
            </w:tcMar>
            <w:vAlign w:val="center"/>
          </w:tcPr>
          <w:p w14:paraId="18C0F123" w14:textId="77777777" w:rsidR="00592C04" w:rsidRDefault="00592C04" w:rsidP="00592C04">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Australia-2024-Yearly. Carbon Intensity Data (April 3, 2025).</w:t>
            </w:r>
          </w:p>
        </w:tc>
        <w:tc>
          <w:tcPr>
            <w:tcW w:w="1548" w:type="dxa"/>
            <w:vMerge/>
            <w:tcBorders>
              <w:bottom w:val="single" w:sz="4" w:space="0" w:color="B4C6E7" w:themeColor="accent1" w:themeTint="66"/>
            </w:tcBorders>
            <w:tcMar>
              <w:top w:w="28" w:type="dxa"/>
              <w:left w:w="28" w:type="dxa"/>
            </w:tcMar>
            <w:vAlign w:val="center"/>
          </w:tcPr>
          <w:p w14:paraId="3CEF8137" w14:textId="77777777" w:rsidR="00592C04" w:rsidRPr="0056702E" w:rsidRDefault="00592C04" w:rsidP="00592C04">
            <w:pPr>
              <w:jc w:val="center"/>
              <w:cnfStyle w:val="000000000000" w:firstRow="0" w:lastRow="0" w:firstColumn="0" w:lastColumn="0" w:oddVBand="0" w:evenVBand="0" w:oddHBand="0" w:evenHBand="0" w:firstRowFirstColumn="0" w:firstRowLastColumn="0" w:lastRowFirstColumn="0" w:lastRowLastColumn="0"/>
            </w:pPr>
          </w:p>
        </w:tc>
        <w:tc>
          <w:tcPr>
            <w:tcW w:w="2137" w:type="dxa"/>
            <w:tcBorders>
              <w:bottom w:val="single" w:sz="4" w:space="0" w:color="B4C6E7" w:themeColor="accent1" w:themeTint="66"/>
            </w:tcBorders>
            <w:tcMar>
              <w:top w:w="28" w:type="dxa"/>
              <w:left w:w="28" w:type="dxa"/>
            </w:tcMar>
            <w:vAlign w:val="center"/>
          </w:tcPr>
          <w:p w14:paraId="4B3CE8FB" w14:textId="77777777" w:rsidR="00592C04" w:rsidRDefault="00592C04" w:rsidP="00592C04">
            <w:pPr>
              <w:pStyle w:val="Contents1"/>
              <w:cnfStyle w:val="000000000000" w:firstRow="0" w:lastRow="0" w:firstColumn="0" w:lastColumn="0" w:oddVBand="0" w:evenVBand="0" w:oddHBand="0" w:evenHBand="0" w:firstRowFirstColumn="0" w:firstRowLastColumn="0" w:lastRowFirstColumn="0" w:lastRowLastColumn="0"/>
            </w:pPr>
            <w:r>
              <w:t>1.30</w:t>
            </w:r>
          </w:p>
        </w:tc>
      </w:tr>
      <w:tr w:rsidR="00592C04" w:rsidRPr="0056702E" w14:paraId="13712E27" w14:textId="77777777" w:rsidTr="00592C04">
        <w:trPr>
          <w:trHeight w:val="624"/>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B4C6E7"/>
            </w:tcBorders>
            <w:tcMar>
              <w:top w:w="28" w:type="dxa"/>
              <w:left w:w="28" w:type="dxa"/>
            </w:tcMar>
            <w:vAlign w:val="center"/>
          </w:tcPr>
          <w:p w14:paraId="1CA87509" w14:textId="77777777" w:rsidR="00592C04" w:rsidRDefault="00592C04" w:rsidP="00592C04">
            <w:pPr>
              <w:pStyle w:val="Contents1"/>
            </w:pPr>
            <w:r>
              <w:t>Toronto</w:t>
            </w:r>
          </w:p>
        </w:tc>
        <w:tc>
          <w:tcPr>
            <w:tcW w:w="850" w:type="dxa"/>
            <w:tcBorders>
              <w:bottom w:val="single" w:sz="4" w:space="0" w:color="B4C6E7"/>
            </w:tcBorders>
            <w:tcMar>
              <w:top w:w="28" w:type="dxa"/>
              <w:left w:w="28" w:type="dxa"/>
            </w:tcMar>
            <w:vAlign w:val="center"/>
          </w:tcPr>
          <w:p w14:paraId="059E93BE" w14:textId="77777777" w:rsidR="00592C04" w:rsidRDefault="00592C04" w:rsidP="00592C04">
            <w:pPr>
              <w:jc w:val="center"/>
              <w:cnfStyle w:val="000000000000" w:firstRow="0" w:lastRow="0" w:firstColumn="0" w:lastColumn="0" w:oddVBand="0" w:evenVBand="0" w:oddHBand="0" w:evenHBand="0" w:firstRowFirstColumn="0" w:firstRowLastColumn="0" w:lastRowFirstColumn="0" w:lastRowLastColumn="0"/>
            </w:pPr>
            <w:r>
              <w:t>YYZ</w:t>
            </w:r>
          </w:p>
        </w:tc>
        <w:tc>
          <w:tcPr>
            <w:tcW w:w="4111" w:type="dxa"/>
            <w:tcBorders>
              <w:bottom w:val="single" w:sz="4" w:space="0" w:color="B4C6E7"/>
            </w:tcBorders>
            <w:tcMar>
              <w:top w:w="28" w:type="dxa"/>
              <w:left w:w="28" w:type="dxa"/>
            </w:tcMar>
            <w:vAlign w:val="center"/>
          </w:tcPr>
          <w:p w14:paraId="2F969FB7" w14:textId="77777777" w:rsidR="00592C04" w:rsidRDefault="00592C04" w:rsidP="00592C04">
            <w:pPr>
              <w:pStyle w:val="Contents2"/>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Ontario-2024-Yearly. Carbon Intensity Data (April 3, 2025).</w:t>
            </w:r>
          </w:p>
        </w:tc>
        <w:tc>
          <w:tcPr>
            <w:tcW w:w="1548" w:type="dxa"/>
            <w:vMerge/>
            <w:tcBorders>
              <w:bottom w:val="single" w:sz="4" w:space="0" w:color="B4C6E7"/>
            </w:tcBorders>
            <w:tcMar>
              <w:top w:w="28" w:type="dxa"/>
              <w:left w:w="28" w:type="dxa"/>
            </w:tcMar>
            <w:vAlign w:val="center"/>
          </w:tcPr>
          <w:p w14:paraId="4079F218" w14:textId="77777777" w:rsidR="00592C04" w:rsidRPr="0056702E" w:rsidRDefault="00592C04" w:rsidP="00592C04">
            <w:pPr>
              <w:jc w:val="center"/>
              <w:cnfStyle w:val="000000000000" w:firstRow="0" w:lastRow="0" w:firstColumn="0" w:lastColumn="0" w:oddVBand="0" w:evenVBand="0" w:oddHBand="0" w:evenHBand="0" w:firstRowFirstColumn="0" w:firstRowLastColumn="0" w:lastRowFirstColumn="0" w:lastRowLastColumn="0"/>
            </w:pPr>
          </w:p>
        </w:tc>
        <w:tc>
          <w:tcPr>
            <w:tcW w:w="2137" w:type="dxa"/>
            <w:tcBorders>
              <w:bottom w:val="single" w:sz="4" w:space="0" w:color="B4C6E7"/>
            </w:tcBorders>
            <w:tcMar>
              <w:top w:w="28" w:type="dxa"/>
              <w:left w:w="28" w:type="dxa"/>
            </w:tcMar>
            <w:vAlign w:val="center"/>
          </w:tcPr>
          <w:p w14:paraId="2149488E" w14:textId="77777777" w:rsidR="00592C04" w:rsidRDefault="00592C04" w:rsidP="00592C04">
            <w:pPr>
              <w:pStyle w:val="Contents1"/>
              <w:cnfStyle w:val="000000000000" w:firstRow="0" w:lastRow="0" w:firstColumn="0" w:lastColumn="0" w:oddVBand="0" w:evenVBand="0" w:oddHBand="0" w:evenHBand="0" w:firstRowFirstColumn="0" w:firstRowLastColumn="0" w:lastRowFirstColumn="0" w:lastRowLastColumn="0"/>
            </w:pPr>
            <w:r>
              <w:t>N.C.</w:t>
            </w:r>
          </w:p>
        </w:tc>
      </w:tr>
    </w:tbl>
    <w:p w14:paraId="55B7CF10" w14:textId="77777777" w:rsidR="003D339A" w:rsidRDefault="003D339A" w:rsidP="003D339A"/>
    <w:tbl>
      <w:tblPr>
        <w:tblStyle w:val="TableauGrille1Clair-Accentuation1"/>
        <w:tblW w:w="10201" w:type="dxa"/>
        <w:jc w:val="center"/>
        <w:tblLayout w:type="fixed"/>
        <w:tblCellMar>
          <w:left w:w="0" w:type="dxa"/>
          <w:right w:w="0" w:type="dxa"/>
        </w:tblCellMar>
        <w:tblLook w:val="04A0" w:firstRow="1" w:lastRow="0" w:firstColumn="1" w:lastColumn="0" w:noHBand="0" w:noVBand="1"/>
      </w:tblPr>
      <w:tblGrid>
        <w:gridCol w:w="1555"/>
        <w:gridCol w:w="850"/>
        <w:gridCol w:w="4111"/>
        <w:gridCol w:w="3685"/>
      </w:tblGrid>
      <w:tr w:rsidR="003D339A" w14:paraId="07CFF629" w14:textId="77777777" w:rsidTr="00455DB4">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B4C6E7" w:themeColor="accent1" w:themeTint="66"/>
            </w:tcBorders>
            <w:tcMar>
              <w:top w:w="28" w:type="dxa"/>
              <w:left w:w="28" w:type="dxa"/>
            </w:tcMar>
            <w:vAlign w:val="center"/>
          </w:tcPr>
          <w:p w14:paraId="5577339F" w14:textId="77777777" w:rsidR="003D339A" w:rsidRDefault="003D339A" w:rsidP="00455DB4">
            <w:pPr>
              <w:pStyle w:val="En-ttedetabledesmatires"/>
              <w:rPr>
                <w:b/>
                <w:bCs/>
              </w:rPr>
            </w:pPr>
            <w:r>
              <w:rPr>
                <w:b/>
                <w:bCs/>
              </w:rPr>
              <w:t>Local-Zone</w:t>
            </w:r>
          </w:p>
        </w:tc>
        <w:tc>
          <w:tcPr>
            <w:tcW w:w="4111" w:type="dxa"/>
            <w:tcBorders>
              <w:top w:val="single" w:sz="4" w:space="0" w:color="B4C6E7" w:themeColor="accent1" w:themeTint="66"/>
            </w:tcBorders>
            <w:tcMar>
              <w:top w:w="28" w:type="dxa"/>
              <w:left w:w="28" w:type="dxa"/>
            </w:tcMar>
            <w:vAlign w:val="center"/>
          </w:tcPr>
          <w:p w14:paraId="59044828" w14:textId="77777777" w:rsidR="003D339A" w:rsidRDefault="003D339A" w:rsidP="00455DB4">
            <w:pPr>
              <w:pStyle w:val="En-ttedetabledesmatires"/>
              <w:cnfStyle w:val="100000000000" w:firstRow="1" w:lastRow="0" w:firstColumn="0" w:lastColumn="0" w:oddVBand="0" w:evenVBand="0" w:oddHBand="0" w:evenHBand="0" w:firstRowFirstColumn="0" w:firstRowLastColumn="0" w:lastRowFirstColumn="0" w:lastRowLastColumn="0"/>
              <w:rPr>
                <w:b/>
                <w:bCs/>
              </w:rPr>
            </w:pPr>
            <w:r>
              <w:t>Source of electrical emission factors</w:t>
            </w:r>
          </w:p>
          <w:p w14:paraId="145107DE" w14:textId="77777777" w:rsidR="003D339A" w:rsidRDefault="003D339A" w:rsidP="00455DB4">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E9C"/>
                <w:kern w:val="0"/>
                <w:szCs w:val="24"/>
                <w:shd w:val="clear" w:color="auto" w:fill="auto"/>
                <w:lang w:eastAsia="fr-FR" w:bidi="ar-SA"/>
              </w:rPr>
            </w:pPr>
            <w:r>
              <w:rPr>
                <w:rFonts w:asciiTheme="majorHAnsi" w:eastAsiaTheme="majorEastAsia" w:hAnsiTheme="majorHAnsi" w:cstheme="majorBidi"/>
                <w:color w:val="000E9C"/>
                <w:kern w:val="0"/>
                <w:szCs w:val="24"/>
                <w:shd w:val="clear" w:color="auto" w:fill="auto"/>
              </w:rPr>
              <w:t>Location-based</w:t>
            </w:r>
            <w:r>
              <w:rPr>
                <w:rFonts w:asciiTheme="majorHAnsi" w:eastAsiaTheme="majorEastAsia" w:hAnsiTheme="majorHAnsi" w:cstheme="majorBidi"/>
                <w:color w:val="000E9C"/>
                <w:kern w:val="0"/>
                <w:szCs w:val="24"/>
                <w:shd w:val="clear" w:color="auto" w:fill="auto"/>
                <w:vertAlign w:val="superscript"/>
              </w:rPr>
              <w:t>3</w:t>
            </w:r>
          </w:p>
        </w:tc>
        <w:tc>
          <w:tcPr>
            <w:tcW w:w="3685" w:type="dxa"/>
            <w:tcBorders>
              <w:top w:val="single" w:sz="4" w:space="0" w:color="B4C6E7" w:themeColor="accent1" w:themeTint="66"/>
            </w:tcBorders>
            <w:tcMar>
              <w:top w:w="28" w:type="dxa"/>
              <w:left w:w="28" w:type="dxa"/>
            </w:tcMar>
            <w:vAlign w:val="center"/>
          </w:tcPr>
          <w:p w14:paraId="03A78141" w14:textId="77777777" w:rsidR="003D339A" w:rsidRDefault="003D339A" w:rsidP="00455DB4">
            <w:pPr>
              <w:pStyle w:val="En-ttedetabledesmatires"/>
              <w:cnfStyle w:val="100000000000" w:firstRow="1" w:lastRow="0" w:firstColumn="0" w:lastColumn="0" w:oddVBand="0" w:evenVBand="0" w:oddHBand="0" w:evenHBand="0" w:firstRowFirstColumn="0" w:firstRowLastColumn="0" w:lastRowFirstColumn="0" w:lastRowLastColumn="0"/>
              <w:rPr>
                <w:b/>
                <w:bCs/>
              </w:rPr>
            </w:pPr>
            <w:r>
              <w:t>Electrical emission factors</w:t>
            </w:r>
          </w:p>
          <w:p w14:paraId="4C165788" w14:textId="77777777" w:rsidR="003D339A" w:rsidRDefault="003D339A" w:rsidP="00455DB4">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E9C"/>
                <w:kern w:val="0"/>
                <w:szCs w:val="24"/>
                <w:shd w:val="clear" w:color="auto" w:fill="auto"/>
                <w:lang w:eastAsia="fr-FR" w:bidi="ar-SA"/>
              </w:rPr>
            </w:pPr>
            <w:r>
              <w:rPr>
                <w:rFonts w:asciiTheme="majorHAnsi" w:eastAsiaTheme="majorEastAsia" w:hAnsiTheme="majorHAnsi" w:cstheme="majorBidi"/>
                <w:color w:val="000E9C"/>
                <w:kern w:val="0"/>
                <w:szCs w:val="24"/>
                <w:shd w:val="clear" w:color="auto" w:fill="auto"/>
              </w:rPr>
              <w:t>Market-based</w:t>
            </w:r>
          </w:p>
          <w:p w14:paraId="1028C9BC" w14:textId="77777777" w:rsidR="003D339A" w:rsidRDefault="003D339A" w:rsidP="00455DB4">
            <w:pPr>
              <w:pStyle w:val="Sansinterligne"/>
              <w:jc w:val="center"/>
              <w:cnfStyle w:val="100000000000" w:firstRow="1" w:lastRow="0" w:firstColumn="0" w:lastColumn="0" w:oddVBand="0" w:evenVBand="0" w:oddHBand="0" w:evenHBand="0" w:firstRowFirstColumn="0" w:firstRowLastColumn="0" w:lastRowFirstColumn="0" w:lastRowLastColumn="0"/>
            </w:pPr>
            <w:r>
              <w:rPr>
                <w:rFonts w:asciiTheme="majorHAnsi" w:eastAsiaTheme="majorEastAsia" w:hAnsiTheme="majorHAnsi" w:cstheme="majorBidi"/>
                <w:i/>
                <w:iCs/>
                <w:color w:val="000000" w:themeColor="text1"/>
                <w:kern w:val="0"/>
                <w:sz w:val="20"/>
                <w:szCs w:val="20"/>
                <w:shd w:val="clear" w:color="auto" w:fill="auto"/>
              </w:rPr>
              <w:t>kg CO</w:t>
            </w:r>
            <w:r>
              <w:rPr>
                <w:rFonts w:asciiTheme="majorHAnsi" w:eastAsiaTheme="majorEastAsia" w:hAnsiTheme="majorHAnsi" w:cstheme="majorBidi"/>
                <w:i/>
                <w:iCs/>
                <w:color w:val="000000" w:themeColor="text1"/>
                <w:kern w:val="0"/>
                <w:sz w:val="20"/>
                <w:szCs w:val="20"/>
                <w:shd w:val="clear" w:color="auto" w:fill="auto"/>
                <w:vertAlign w:val="subscript"/>
              </w:rPr>
              <w:t>2</w:t>
            </w:r>
            <w:r>
              <w:rPr>
                <w:rFonts w:asciiTheme="majorHAnsi" w:eastAsiaTheme="majorEastAsia" w:hAnsiTheme="majorHAnsi" w:cstheme="majorBidi"/>
                <w:i/>
                <w:iCs/>
                <w:color w:val="000000" w:themeColor="text1"/>
                <w:kern w:val="0"/>
                <w:sz w:val="20"/>
                <w:szCs w:val="20"/>
                <w:shd w:val="clear" w:color="auto" w:fill="auto"/>
              </w:rPr>
              <w:t>eq/kWh</w:t>
            </w:r>
          </w:p>
        </w:tc>
      </w:tr>
      <w:tr w:rsidR="003D339A" w14:paraId="2614CA9B" w14:textId="77777777" w:rsidTr="00455DB4">
        <w:trPr>
          <w:trHeight w:hRule="exact" w:val="851"/>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9CC2E5" w:themeColor="accent5" w:themeTint="99"/>
            </w:tcBorders>
            <w:tcMar>
              <w:top w:w="28" w:type="dxa"/>
              <w:left w:w="28" w:type="dxa"/>
            </w:tcMar>
          </w:tcPr>
          <w:p w14:paraId="50233399" w14:textId="77777777" w:rsidR="003D339A" w:rsidRDefault="003D339A" w:rsidP="00455DB4">
            <w:pPr>
              <w:pStyle w:val="Contents1"/>
            </w:pPr>
            <w:r>
              <w:t>Amsterdam</w:t>
            </w:r>
          </w:p>
        </w:tc>
        <w:tc>
          <w:tcPr>
            <w:tcW w:w="850" w:type="dxa"/>
            <w:tcBorders>
              <w:bottom w:val="single" w:sz="4" w:space="0" w:color="9CC2E5" w:themeColor="accent5" w:themeTint="99"/>
            </w:tcBorders>
            <w:tcMar>
              <w:top w:w="28" w:type="dxa"/>
              <w:left w:w="28" w:type="dxa"/>
            </w:tcMar>
          </w:tcPr>
          <w:p w14:paraId="717F50F7"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AMS</w:t>
            </w:r>
          </w:p>
        </w:tc>
        <w:tc>
          <w:tcPr>
            <w:tcW w:w="4111" w:type="dxa"/>
            <w:tcBorders>
              <w:bottom w:val="single" w:sz="4" w:space="0" w:color="9CC2E5" w:themeColor="accent5" w:themeTint="99"/>
            </w:tcBorders>
            <w:tcMar>
              <w:top w:w="28" w:type="dxa"/>
              <w:left w:w="28" w:type="dxa"/>
            </w:tcMar>
            <w:vAlign w:val="center"/>
          </w:tcPr>
          <w:p w14:paraId="3C521282"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rFonts w:eastAsiaTheme="majorEastAsia" w:cstheme="majorBidi"/>
                <w:color w:val="000D9C"/>
                <w:sz w:val="20"/>
                <w:szCs w:val="20"/>
              </w:rPr>
            </w:pPr>
            <w:r>
              <w:rPr>
                <w:sz w:val="20"/>
                <w:szCs w:val="20"/>
              </w:rPr>
              <w:t>Electricity Maps (2025) Netherlands-2024-Yearly. Carbon Intensity Data (April 3, 2025).</w:t>
            </w:r>
          </w:p>
        </w:tc>
        <w:tc>
          <w:tcPr>
            <w:tcW w:w="3685" w:type="dxa"/>
            <w:vMerge w:val="restart"/>
            <w:tcMar>
              <w:top w:w="28" w:type="dxa"/>
              <w:left w:w="28" w:type="dxa"/>
            </w:tcMar>
            <w:vAlign w:val="center"/>
          </w:tcPr>
          <w:p w14:paraId="339CEBF4"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kern w:val="3"/>
                <w:sz w:val="21"/>
                <w:szCs w:val="21"/>
                <w:lang w:eastAsia="zh-CN" w:bidi="hi-IN"/>
              </w:rPr>
            </w:pPr>
            <w:r>
              <w:rPr>
                <w:rFonts w:eastAsia="Source Sans Pro" w:cs="Source Sans Pro"/>
                <w:kern w:val="3"/>
                <w:sz w:val="21"/>
                <w:szCs w:val="21"/>
              </w:rPr>
              <w:t>Same as location-based power emission factor</w:t>
            </w:r>
          </w:p>
        </w:tc>
      </w:tr>
      <w:tr w:rsidR="003D339A" w14:paraId="4D28BB79" w14:textId="77777777" w:rsidTr="00455DB4">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06AD636B" w14:textId="77777777" w:rsidR="003D339A" w:rsidRDefault="003D339A" w:rsidP="00455DB4">
            <w:pPr>
              <w:pStyle w:val="Contents1"/>
            </w:pPr>
            <w:r>
              <w:t>Bengaluru</w:t>
            </w:r>
          </w:p>
        </w:tc>
        <w:tc>
          <w:tcPr>
            <w:tcW w:w="850" w:type="dxa"/>
            <w:tcMar>
              <w:top w:w="28" w:type="dxa"/>
              <w:left w:w="28" w:type="dxa"/>
            </w:tcMar>
          </w:tcPr>
          <w:p w14:paraId="44CBC1CF"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BLR</w:t>
            </w:r>
          </w:p>
        </w:tc>
        <w:tc>
          <w:tcPr>
            <w:tcW w:w="4111" w:type="dxa"/>
            <w:tcMar>
              <w:top w:w="28" w:type="dxa"/>
              <w:left w:w="28" w:type="dxa"/>
            </w:tcMar>
            <w:vAlign w:val="center"/>
          </w:tcPr>
          <w:p w14:paraId="57D6F60B"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Belgium-2024-Yearly. Carbon Intensity Data (April 3, 2025).</w:t>
            </w:r>
          </w:p>
        </w:tc>
        <w:tc>
          <w:tcPr>
            <w:tcW w:w="3685" w:type="dxa"/>
            <w:vMerge/>
            <w:tcMar>
              <w:top w:w="28" w:type="dxa"/>
              <w:left w:w="28" w:type="dxa"/>
            </w:tcMar>
          </w:tcPr>
          <w:p w14:paraId="6CA9E7A6"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r w:rsidR="003D339A" w14:paraId="1714BDC0" w14:textId="77777777" w:rsidTr="00455DB4">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2EACE7A7" w14:textId="77777777" w:rsidR="003D339A" w:rsidRDefault="003D339A" w:rsidP="00455DB4">
            <w:pPr>
              <w:pStyle w:val="Contents1"/>
            </w:pPr>
            <w:r>
              <w:t>Madrid</w:t>
            </w:r>
          </w:p>
        </w:tc>
        <w:tc>
          <w:tcPr>
            <w:tcW w:w="850" w:type="dxa"/>
            <w:tcMar>
              <w:top w:w="28" w:type="dxa"/>
              <w:left w:w="28" w:type="dxa"/>
            </w:tcMar>
          </w:tcPr>
          <w:p w14:paraId="3A3FAB37"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MAD</w:t>
            </w:r>
          </w:p>
        </w:tc>
        <w:tc>
          <w:tcPr>
            <w:tcW w:w="4111" w:type="dxa"/>
            <w:tcMar>
              <w:top w:w="28" w:type="dxa"/>
              <w:left w:w="28" w:type="dxa"/>
            </w:tcMar>
            <w:vAlign w:val="center"/>
          </w:tcPr>
          <w:p w14:paraId="379823A4"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Spain-2024-Yearly. Carbon Intensity Data (April 3, 2025).</w:t>
            </w:r>
          </w:p>
        </w:tc>
        <w:tc>
          <w:tcPr>
            <w:tcW w:w="3685" w:type="dxa"/>
            <w:vMerge/>
            <w:tcMar>
              <w:top w:w="28" w:type="dxa"/>
              <w:left w:w="28" w:type="dxa"/>
            </w:tcMar>
          </w:tcPr>
          <w:p w14:paraId="629C0911"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r w:rsidR="003D339A" w14:paraId="5DAA8E51" w14:textId="77777777" w:rsidTr="00455DB4">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11C029CC" w14:textId="77777777" w:rsidR="003D339A" w:rsidRDefault="003D339A" w:rsidP="00455DB4">
            <w:pPr>
              <w:pStyle w:val="Contents1"/>
            </w:pPr>
            <w:r>
              <w:t>Milan</w:t>
            </w:r>
          </w:p>
        </w:tc>
        <w:tc>
          <w:tcPr>
            <w:tcW w:w="850" w:type="dxa"/>
            <w:tcMar>
              <w:top w:w="28" w:type="dxa"/>
              <w:left w:w="28" w:type="dxa"/>
            </w:tcMar>
          </w:tcPr>
          <w:p w14:paraId="14102FAF"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MIL</w:t>
            </w:r>
          </w:p>
        </w:tc>
        <w:tc>
          <w:tcPr>
            <w:tcW w:w="4111" w:type="dxa"/>
            <w:tcMar>
              <w:top w:w="28" w:type="dxa"/>
              <w:left w:w="28" w:type="dxa"/>
            </w:tcMar>
            <w:vAlign w:val="center"/>
          </w:tcPr>
          <w:p w14:paraId="4C02055F"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Italy-2024-Yearly. Carbon Intensity Data (April 3, 2025).</w:t>
            </w:r>
          </w:p>
        </w:tc>
        <w:tc>
          <w:tcPr>
            <w:tcW w:w="3685" w:type="dxa"/>
            <w:vMerge/>
            <w:tcMar>
              <w:top w:w="28" w:type="dxa"/>
              <w:left w:w="28" w:type="dxa"/>
            </w:tcMar>
          </w:tcPr>
          <w:p w14:paraId="0494DB37"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r w:rsidR="003D339A" w14:paraId="20F72704" w14:textId="77777777" w:rsidTr="00455DB4">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7322A23F" w14:textId="77777777" w:rsidR="003D339A" w:rsidRDefault="003D339A" w:rsidP="00455DB4">
            <w:pPr>
              <w:pStyle w:val="Contents1"/>
            </w:pPr>
            <w:r>
              <w:t>Marseille</w:t>
            </w:r>
          </w:p>
        </w:tc>
        <w:tc>
          <w:tcPr>
            <w:tcW w:w="850" w:type="dxa"/>
            <w:tcMar>
              <w:top w:w="28" w:type="dxa"/>
              <w:left w:w="28" w:type="dxa"/>
            </w:tcMar>
          </w:tcPr>
          <w:p w14:paraId="12B74F83"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SRM</w:t>
            </w:r>
          </w:p>
        </w:tc>
        <w:tc>
          <w:tcPr>
            <w:tcW w:w="4111" w:type="dxa"/>
            <w:tcMar>
              <w:top w:w="28" w:type="dxa"/>
              <w:left w:w="28" w:type="dxa"/>
            </w:tcMar>
            <w:vAlign w:val="center"/>
          </w:tcPr>
          <w:p w14:paraId="1D721B66"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France-2024-Yearly. Carbon Intensity Data (April 3, 2025).</w:t>
            </w:r>
          </w:p>
        </w:tc>
        <w:tc>
          <w:tcPr>
            <w:tcW w:w="3685" w:type="dxa"/>
            <w:vMerge/>
            <w:tcMar>
              <w:top w:w="28" w:type="dxa"/>
              <w:left w:w="28" w:type="dxa"/>
            </w:tcMar>
          </w:tcPr>
          <w:p w14:paraId="3D91E47B"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r w:rsidR="003D339A" w14:paraId="5C145BF6" w14:textId="77777777" w:rsidTr="00455DB4">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44A0803F" w14:textId="77777777" w:rsidR="003D339A" w:rsidRDefault="003D339A" w:rsidP="00455DB4">
            <w:pPr>
              <w:pStyle w:val="Contents1"/>
            </w:pPr>
            <w:r>
              <w:t>Prague</w:t>
            </w:r>
          </w:p>
        </w:tc>
        <w:tc>
          <w:tcPr>
            <w:tcW w:w="850" w:type="dxa"/>
            <w:tcMar>
              <w:top w:w="28" w:type="dxa"/>
              <w:left w:w="28" w:type="dxa"/>
            </w:tcMar>
          </w:tcPr>
          <w:p w14:paraId="5C64C8C7"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GWP</w:t>
            </w:r>
          </w:p>
        </w:tc>
        <w:tc>
          <w:tcPr>
            <w:tcW w:w="4111" w:type="dxa"/>
            <w:tcMar>
              <w:top w:w="28" w:type="dxa"/>
              <w:left w:w="28" w:type="dxa"/>
            </w:tcMar>
            <w:vAlign w:val="center"/>
          </w:tcPr>
          <w:p w14:paraId="2177569B"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Czechia-2024-Yearly. Carbon Intensity Data (April 3, 2025).</w:t>
            </w:r>
          </w:p>
        </w:tc>
        <w:tc>
          <w:tcPr>
            <w:tcW w:w="3685" w:type="dxa"/>
            <w:vMerge/>
            <w:tcMar>
              <w:top w:w="28" w:type="dxa"/>
              <w:left w:w="28" w:type="dxa"/>
            </w:tcMar>
          </w:tcPr>
          <w:p w14:paraId="7A4249C1"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r w:rsidR="003D339A" w14:paraId="1BB5DCA9" w14:textId="77777777" w:rsidTr="00455DB4">
        <w:trPr>
          <w:trHeight w:hRule="exact" w:val="851"/>
          <w:jc w:val="center"/>
        </w:trPr>
        <w:tc>
          <w:tcPr>
            <w:cnfStyle w:val="001000000000" w:firstRow="0" w:lastRow="0" w:firstColumn="1" w:lastColumn="0" w:oddVBand="0" w:evenVBand="0" w:oddHBand="0" w:evenHBand="0" w:firstRowFirstColumn="0" w:firstRowLastColumn="0" w:lastRowFirstColumn="0" w:lastRowLastColumn="0"/>
            <w:tcW w:w="1555" w:type="dxa"/>
            <w:tcMar>
              <w:top w:w="28" w:type="dxa"/>
              <w:left w:w="28" w:type="dxa"/>
            </w:tcMar>
          </w:tcPr>
          <w:p w14:paraId="1418C6F5" w14:textId="77777777" w:rsidR="003D339A" w:rsidRDefault="003D339A" w:rsidP="00455DB4">
            <w:pPr>
              <w:pStyle w:val="Contents1"/>
            </w:pPr>
            <w:r>
              <w:t>Zurich</w:t>
            </w:r>
          </w:p>
        </w:tc>
        <w:tc>
          <w:tcPr>
            <w:tcW w:w="850" w:type="dxa"/>
            <w:tcMar>
              <w:top w:w="28" w:type="dxa"/>
              <w:left w:w="28" w:type="dxa"/>
            </w:tcMar>
          </w:tcPr>
          <w:p w14:paraId="15956FA3" w14:textId="77777777" w:rsidR="003D339A" w:rsidRDefault="003D339A" w:rsidP="00455DB4">
            <w:pPr>
              <w:jc w:val="center"/>
              <w:cnfStyle w:val="000000000000" w:firstRow="0" w:lastRow="0" w:firstColumn="0" w:lastColumn="0" w:oddVBand="0" w:evenVBand="0" w:oddHBand="0" w:evenHBand="0" w:firstRowFirstColumn="0" w:firstRowLastColumn="0" w:lastRowFirstColumn="0" w:lastRowLastColumn="0"/>
            </w:pPr>
            <w:r>
              <w:t>ZRH</w:t>
            </w:r>
          </w:p>
        </w:tc>
        <w:tc>
          <w:tcPr>
            <w:tcW w:w="4111" w:type="dxa"/>
            <w:tcMar>
              <w:top w:w="28" w:type="dxa"/>
              <w:left w:w="28" w:type="dxa"/>
            </w:tcMar>
            <w:vAlign w:val="center"/>
          </w:tcPr>
          <w:p w14:paraId="20E87065" w14:textId="77777777" w:rsidR="003D339A" w:rsidRDefault="003D339A" w:rsidP="00455DB4">
            <w:pPr>
              <w:pStyle w:val="TableContent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Electricity Maps (2025) Switzerland-2024-Yearly. Carbon Intensity Data (April 3, 2025).</w:t>
            </w:r>
          </w:p>
        </w:tc>
        <w:tc>
          <w:tcPr>
            <w:tcW w:w="3685" w:type="dxa"/>
            <w:vMerge/>
            <w:tcMar>
              <w:top w:w="28" w:type="dxa"/>
              <w:left w:w="28" w:type="dxa"/>
            </w:tcMar>
          </w:tcPr>
          <w:p w14:paraId="102CA4AB" w14:textId="77777777" w:rsidR="003D339A" w:rsidRPr="0056702E" w:rsidRDefault="003D339A" w:rsidP="00455DB4">
            <w:pPr>
              <w:cnfStyle w:val="000000000000" w:firstRow="0" w:lastRow="0" w:firstColumn="0" w:lastColumn="0" w:oddVBand="0" w:evenVBand="0" w:oddHBand="0" w:evenHBand="0" w:firstRowFirstColumn="0" w:firstRowLastColumn="0" w:lastRowFirstColumn="0" w:lastRowLastColumn="0"/>
            </w:pPr>
          </w:p>
        </w:tc>
      </w:tr>
    </w:tbl>
    <w:p w14:paraId="2FAFA386" w14:textId="77777777" w:rsidR="003D339A" w:rsidRPr="003D339A" w:rsidRDefault="003D339A" w:rsidP="003D339A"/>
    <w:p w14:paraId="4CCF2A45" w14:textId="188587CF" w:rsidR="00DB4D57" w:rsidRDefault="00000000">
      <w:pPr>
        <w:pStyle w:val="Citationintense"/>
      </w:pPr>
      <w:r>
        <w:t>The model developed to assess the greenhouse gas emissions associated with each server’s use phase is based on three key points:</w:t>
      </w:r>
    </w:p>
    <w:p w14:paraId="429588A3" w14:textId="77777777" w:rsidR="00DB4D57" w:rsidRDefault="00000000">
      <w:pPr>
        <w:pStyle w:val="Citationintense"/>
        <w:jc w:val="both"/>
      </w:pPr>
      <w:r>
        <w:t>- the energy consumption of the servers is considered to be 100% 24/7,</w:t>
      </w:r>
    </w:p>
    <w:p w14:paraId="7DA79A72" w14:textId="46FEC3B3" w:rsidR="00DB4D57" w:rsidRDefault="00000000">
      <w:pPr>
        <w:pStyle w:val="Citationintense"/>
        <w:jc w:val="both"/>
      </w:pPr>
      <w:r>
        <w:t xml:space="preserve">- the PUE is used to take into account the energy consumption of the </w:t>
      </w:r>
      <w:r w:rsidR="00085BF0">
        <w:t>auxiliary</w:t>
      </w:r>
      <w:r>
        <w:t xml:space="preserve"> required for a server to work properly,</w:t>
      </w:r>
    </w:p>
    <w:p w14:paraId="21DD0153" w14:textId="45B1D94A" w:rsidR="00DB4D57" w:rsidRDefault="00000000">
      <w:pPr>
        <w:pStyle w:val="Citationintense"/>
        <w:jc w:val="both"/>
      </w:pPr>
      <w:r>
        <w:t xml:space="preserve">- Energy mixes are considered to be </w:t>
      </w:r>
      <w:r w:rsidR="00085BF0">
        <w:t>location</w:t>
      </w:r>
      <w:r>
        <w:t>-based and market-based.</w:t>
      </w:r>
    </w:p>
    <w:p w14:paraId="36889502" w14:textId="77777777" w:rsidR="00DB4D57" w:rsidRDefault="00000000">
      <w:pPr>
        <w:pStyle w:val="Titre2"/>
      </w:pPr>
      <w:bookmarkStart w:id="40" w:name="_Toc202948812"/>
      <w:r>
        <w:t>Operations: miscellaneous issue aggregate</w:t>
      </w:r>
      <w:bookmarkEnd w:id="40"/>
    </w:p>
    <w:p w14:paraId="30C94EFC" w14:textId="77777777" w:rsidR="00DB4D57" w:rsidRDefault="00000000">
      <w:pPr>
        <w:pStyle w:val="Titre3"/>
      </w:pPr>
      <w:bookmarkStart w:id="41" w:name="_Toc202948813"/>
      <w:r>
        <w:t>Emissions from the Carbon Balance</w:t>
      </w:r>
      <w:bookmarkEnd w:id="41"/>
    </w:p>
    <w:p w14:paraId="35E7EA8C" w14:textId="281BF979" w:rsidR="00DB4D57" w:rsidRDefault="00B37054">
      <w:pPr>
        <w:rPr>
          <w:shd w:val="clear" w:color="auto" w:fill="FFFFFF"/>
        </w:rPr>
      </w:pPr>
      <w:r w:rsidRPr="00541685">
        <w:t xml:space="preserve">As explained above, this nature of emissions gathers every OVHcloud </w:t>
      </w:r>
      <w:r w:rsidR="007C70C3">
        <w:t>greenhouse gas</w:t>
      </w:r>
      <w:r w:rsidRPr="00541685">
        <w:t xml:space="preserve"> emissions that is not accounted as either </w:t>
      </w:r>
      <w:r>
        <w:rPr>
          <w:shd w:val="clear" w:color="auto" w:fill="FFFFFF"/>
        </w:rPr>
        <w:t>the manufacturing or the use phase. The environmental footprint of the operations is the sum of the impacts from the company’s annual carbon footpring using the GHG Protocol method, including:</w:t>
      </w:r>
    </w:p>
    <w:p w14:paraId="1D1DBDE6" w14:textId="77777777" w:rsidR="00DB4D57" w:rsidRDefault="00000000">
      <w:pPr>
        <w:pStyle w:val="Paragraphedeliste"/>
        <w:numPr>
          <w:ilvl w:val="0"/>
          <w:numId w:val="12"/>
        </w:numPr>
        <w:spacing w:before="0" w:after="0"/>
        <w:ind w:left="714" w:hanging="357"/>
      </w:pPr>
      <w:r>
        <w:t>Scope 1: Direct emissions</w:t>
      </w:r>
    </w:p>
    <w:p w14:paraId="190AED82" w14:textId="022F23BE" w:rsidR="00DB4D57" w:rsidRDefault="00000000">
      <w:pPr>
        <w:pStyle w:val="TableContents"/>
        <w:numPr>
          <w:ilvl w:val="1"/>
          <w:numId w:val="12"/>
        </w:numPr>
        <w:jc w:val="both"/>
        <w:rPr>
          <w:sz w:val="20"/>
          <w:szCs w:val="20"/>
        </w:rPr>
      </w:pPr>
      <w:r>
        <w:rPr>
          <w:sz w:val="20"/>
          <w:szCs w:val="20"/>
        </w:rPr>
        <w:t xml:space="preserve">Combustion </w:t>
      </w:r>
      <w:r w:rsidR="00B37054">
        <w:rPr>
          <w:sz w:val="20"/>
          <w:szCs w:val="20"/>
        </w:rPr>
        <w:t>from back-up power generators</w:t>
      </w:r>
    </w:p>
    <w:p w14:paraId="53465C9B" w14:textId="77777777" w:rsidR="00DB4D57" w:rsidRDefault="00000000">
      <w:pPr>
        <w:pStyle w:val="TableContents"/>
        <w:numPr>
          <w:ilvl w:val="1"/>
          <w:numId w:val="12"/>
        </w:numPr>
        <w:jc w:val="both"/>
        <w:rPr>
          <w:sz w:val="20"/>
          <w:szCs w:val="20"/>
        </w:rPr>
      </w:pPr>
      <w:r>
        <w:rPr>
          <w:sz w:val="20"/>
          <w:szCs w:val="20"/>
        </w:rPr>
        <w:t>Operation of internal vehicle fleet with internal combustion engine</w:t>
      </w:r>
    </w:p>
    <w:p w14:paraId="4D5B91FB" w14:textId="7DF1E2D2" w:rsidR="00DB4D57" w:rsidRDefault="00B37054">
      <w:pPr>
        <w:pStyle w:val="TableContents"/>
        <w:numPr>
          <w:ilvl w:val="1"/>
          <w:numId w:val="12"/>
        </w:numPr>
        <w:jc w:val="both"/>
        <w:rPr>
          <w:sz w:val="20"/>
          <w:szCs w:val="20"/>
        </w:rPr>
      </w:pPr>
      <w:r>
        <w:rPr>
          <w:sz w:val="20"/>
          <w:szCs w:val="20"/>
        </w:rPr>
        <w:t>Air conditioning leaks</w:t>
      </w:r>
    </w:p>
    <w:p w14:paraId="4CFC24B2" w14:textId="77777777" w:rsidR="00DB4D57" w:rsidRDefault="00000000">
      <w:pPr>
        <w:pStyle w:val="Paragraphedeliste"/>
        <w:numPr>
          <w:ilvl w:val="0"/>
          <w:numId w:val="12"/>
        </w:numPr>
        <w:spacing w:before="0" w:after="0"/>
        <w:ind w:left="714" w:hanging="357"/>
      </w:pPr>
      <w:r>
        <w:t>Scope 3: Indirect upstream and downstream emissions</w:t>
      </w:r>
    </w:p>
    <w:p w14:paraId="0018AAB1" w14:textId="77777777" w:rsidR="00DB4D57" w:rsidRDefault="00000000">
      <w:pPr>
        <w:pStyle w:val="TableContents"/>
        <w:numPr>
          <w:ilvl w:val="1"/>
          <w:numId w:val="12"/>
        </w:numPr>
        <w:jc w:val="both"/>
        <w:rPr>
          <w:sz w:val="20"/>
          <w:szCs w:val="20"/>
        </w:rPr>
      </w:pPr>
      <w:r>
        <w:rPr>
          <w:sz w:val="20"/>
          <w:szCs w:val="20"/>
        </w:rPr>
        <w:t>Indirect emissions from domestic fuel consumption</w:t>
      </w:r>
    </w:p>
    <w:p w14:paraId="4D58FC9A" w14:textId="7777777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Indirect emissions from fuel consumption</w:t>
      </w:r>
    </w:p>
    <w:p w14:paraId="69DF718B" w14:textId="7777777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Emissions from power consumption of production and offices</w:t>
      </w:r>
    </w:p>
    <w:p w14:paraId="3C13C18E"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Water consumption emissions</w:t>
      </w:r>
    </w:p>
    <w:p w14:paraId="5CF5392E"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Emissions related to waste management</w:t>
      </w:r>
    </w:p>
    <w:p w14:paraId="469F7652" w14:textId="7777777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Fixed assets of buildings</w:t>
      </w:r>
    </w:p>
    <w:p w14:paraId="6E8B151B" w14:textId="7777777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 xml:space="preserve">Infrastructure deployment </w:t>
      </w:r>
    </w:p>
    <w:p w14:paraId="68B5AD89" w14:textId="2A5A0C3F"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lastRenderedPageBreak/>
        <w:t xml:space="preserve">Network Equipment </w:t>
      </w:r>
      <w:r w:rsidR="00B37054">
        <w:rPr>
          <w:rFonts w:cs="Calibri"/>
          <w:color w:val="000000"/>
          <w:sz w:val="20"/>
          <w:szCs w:val="20"/>
        </w:rPr>
        <w:t>p</w:t>
      </w:r>
      <w:r>
        <w:rPr>
          <w:rFonts w:cs="Calibri"/>
          <w:color w:val="000000"/>
          <w:sz w:val="20"/>
          <w:szCs w:val="20"/>
        </w:rPr>
        <w:t>urchases</w:t>
      </w:r>
    </w:p>
    <w:p w14:paraId="1CCF3CDC" w14:textId="7777777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Emissions due to the backbone</w:t>
      </w:r>
    </w:p>
    <w:p w14:paraId="555E8077" w14:textId="61E48B17" w:rsidR="00DB4D57" w:rsidRDefault="00000000">
      <w:pPr>
        <w:pStyle w:val="Paragraphedeliste"/>
        <w:numPr>
          <w:ilvl w:val="1"/>
          <w:numId w:val="12"/>
        </w:numPr>
        <w:spacing w:before="0" w:after="0"/>
        <w:jc w:val="left"/>
        <w:rPr>
          <w:rFonts w:cs="Calibri"/>
          <w:color w:val="000000"/>
          <w:sz w:val="20"/>
          <w:szCs w:val="20"/>
        </w:rPr>
      </w:pPr>
      <w:r>
        <w:rPr>
          <w:rFonts w:cs="Calibri"/>
          <w:color w:val="000000"/>
          <w:sz w:val="20"/>
          <w:szCs w:val="20"/>
        </w:rPr>
        <w:t>Purchase of IT licenses not hosted at OVH</w:t>
      </w:r>
      <w:r w:rsidR="00B37054">
        <w:rPr>
          <w:rFonts w:cs="Calibri"/>
          <w:color w:val="000000"/>
          <w:sz w:val="20"/>
          <w:szCs w:val="20"/>
        </w:rPr>
        <w:t>cloud</w:t>
      </w:r>
    </w:p>
    <w:p w14:paraId="25732614"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Consumables/meals/supplies/services purchases</w:t>
      </w:r>
    </w:p>
    <w:p w14:paraId="4D88A6BB" w14:textId="758FFBE0" w:rsidR="00DB4D57" w:rsidRDefault="00000000">
      <w:pPr>
        <w:pStyle w:val="TableContents"/>
        <w:numPr>
          <w:ilvl w:val="1"/>
          <w:numId w:val="12"/>
        </w:numPr>
        <w:jc w:val="both"/>
        <w:rPr>
          <w:sz w:val="20"/>
          <w:szCs w:val="20"/>
        </w:rPr>
      </w:pPr>
      <w:r>
        <w:rPr>
          <w:rFonts w:cs="Calibri"/>
          <w:color w:val="000000"/>
          <w:sz w:val="20"/>
          <w:szCs w:val="20"/>
        </w:rPr>
        <w:t>Purchase of work equipment from OVH</w:t>
      </w:r>
      <w:r w:rsidR="00B37054">
        <w:rPr>
          <w:rFonts w:cs="Calibri"/>
          <w:color w:val="000000"/>
          <w:sz w:val="20"/>
          <w:szCs w:val="20"/>
        </w:rPr>
        <w:t>cloud</w:t>
      </w:r>
      <w:r>
        <w:rPr>
          <w:rFonts w:cs="Calibri"/>
          <w:color w:val="000000"/>
          <w:sz w:val="20"/>
          <w:szCs w:val="20"/>
        </w:rPr>
        <w:t xml:space="preserve"> employees</w:t>
      </w:r>
    </w:p>
    <w:p w14:paraId="0E712921"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Incoming and outgoing freight emissions</w:t>
      </w:r>
    </w:p>
    <w:p w14:paraId="26439E9F"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Business travel programs</w:t>
      </w:r>
    </w:p>
    <w:p w14:paraId="0B29061E" w14:textId="368C0080"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Employee commut</w:t>
      </w:r>
      <w:r w:rsidR="00B37054">
        <w:rPr>
          <w:rFonts w:cs="Calibri"/>
          <w:color w:val="000000"/>
          <w:sz w:val="20"/>
          <w:szCs w:val="20"/>
        </w:rPr>
        <w:t>ing</w:t>
      </w:r>
    </w:p>
    <w:p w14:paraId="3FDC63E5"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Equipment purchase (Xdsl and VoIP)</w:t>
      </w:r>
    </w:p>
    <w:p w14:paraId="04F12E79" w14:textId="77777777" w:rsidR="00DB4D57" w:rsidRDefault="00000000">
      <w:pPr>
        <w:pStyle w:val="Paragraphedeliste"/>
        <w:numPr>
          <w:ilvl w:val="1"/>
          <w:numId w:val="12"/>
        </w:numPr>
        <w:spacing w:before="0" w:after="0"/>
        <w:rPr>
          <w:rFonts w:cs="Calibri"/>
          <w:color w:val="000000"/>
          <w:sz w:val="20"/>
          <w:szCs w:val="20"/>
        </w:rPr>
      </w:pPr>
      <w:r>
        <w:rPr>
          <w:rFonts w:cs="Calibri"/>
          <w:color w:val="000000"/>
          <w:sz w:val="20"/>
          <w:szCs w:val="20"/>
        </w:rPr>
        <w:t>Use of equipment delivered to customers (xDsl/VoIP)</w:t>
      </w:r>
    </w:p>
    <w:p w14:paraId="3390891C" w14:textId="6CFA6752" w:rsidR="00DB4D57" w:rsidRDefault="00B37054">
      <w:r w:rsidRPr="00541685">
        <w:t xml:space="preserve">The method chosen is a simplified approach using an equal distribution of the Operations impacts over the entirety of the servers dedicated to customer use. </w:t>
      </w:r>
    </w:p>
    <w:p w14:paraId="4AE8D701" w14:textId="77777777" w:rsidR="00DB4D57" w:rsidRDefault="00000000">
      <w:pPr>
        <w:pStyle w:val="Titre3"/>
      </w:pPr>
      <w:bookmarkStart w:id="42" w:name="_Toc202948814"/>
      <w:r>
        <w:t>OVHcloud internal IT usage emissions</w:t>
      </w:r>
      <w:bookmarkEnd w:id="42"/>
    </w:p>
    <w:p w14:paraId="618D276A" w14:textId="1BF7F5D6" w:rsidR="00DB4D57" w:rsidRPr="00573C30" w:rsidRDefault="00573C30" w:rsidP="007C70C3">
      <w:pPr>
        <w:rPr>
          <w:lang w:val="en"/>
        </w:rPr>
      </w:pPr>
      <w:r w:rsidRPr="00541685">
        <w:rPr>
          <w:lang w:val="en"/>
        </w:rPr>
        <w:t xml:space="preserve">This raises the question of the allocation of the impacts generating by OVHcloud’s internal IT. It has been decided that there would be one single methodology for distributing the related </w:t>
      </w:r>
      <w:r w:rsidR="003D339A">
        <w:rPr>
          <w:lang w:val="en"/>
        </w:rPr>
        <w:t>greenhouse</w:t>
      </w:r>
      <w:r w:rsidR="007C70C3">
        <w:rPr>
          <w:lang w:val="en"/>
        </w:rPr>
        <w:t xml:space="preserve"> gas</w:t>
      </w:r>
      <w:r w:rsidRPr="00541685">
        <w:rPr>
          <w:lang w:val="en"/>
        </w:rPr>
        <w:t xml:space="preserve"> emissions, and that this method would be the same as for the Operations. Indeed, when dealing with corporate IT equipment the impacts must be equally allocated over all OVHcloud servers.</w:t>
      </w:r>
    </w:p>
    <w:p w14:paraId="7F2DF67B" w14:textId="77777777" w:rsidR="00DB4D57" w:rsidRDefault="00000000">
      <w:pPr>
        <w:pStyle w:val="Citationintense"/>
      </w:pPr>
      <w:r>
        <w:t xml:space="preserve">The environmental impact of a dedicated server for internal use is distributed the same as the rest of Operations, i.e. equally across physical servers for customers to use. </w:t>
      </w:r>
    </w:p>
    <w:p w14:paraId="2155B8E2" w14:textId="61438346" w:rsidR="00DB4D57" w:rsidRDefault="00573C30">
      <w:r w:rsidRPr="00573C30">
        <w:t>As for the Operations, alternative allocation methods that more realistically reflect the server resource consumption can be imagined. However, for the time being, as the Operation part represents a minor part of the total footprint, the equal distribution will give satisfactory results. As an example, repartition of the data centers buildings according to the number of servers installed inside seems relevant, while allocation of the support team’s footprint can be challenged: products can have dedicated teams, according to level of support for instance.</w:t>
      </w:r>
    </w:p>
    <w:p w14:paraId="70A274AA" w14:textId="77777777" w:rsidR="00DB4D57" w:rsidRDefault="00000000">
      <w:pPr>
        <w:pStyle w:val="Titre1"/>
      </w:pPr>
      <w:bookmarkStart w:id="43" w:name="_Ref190764571"/>
      <w:bookmarkStart w:id="44" w:name="_Ref199947036"/>
      <w:bookmarkStart w:id="45" w:name="_Toc202948815"/>
      <w:r>
        <w:t xml:space="preserve">Method for allocating </w:t>
      </w:r>
      <w:bookmarkEnd w:id="43"/>
      <w:r>
        <w:t>environmental footprint</w:t>
      </w:r>
      <w:bookmarkEnd w:id="44"/>
      <w:bookmarkEnd w:id="45"/>
    </w:p>
    <w:p w14:paraId="2362914D" w14:textId="12A06B2D" w:rsidR="00DB4D57" w:rsidRDefault="00285909">
      <w:pPr>
        <w:rPr>
          <w:shd w:val="clear" w:color="auto" w:fill="FFFFFF"/>
        </w:rPr>
      </w:pPr>
      <w:r w:rsidRPr="00541685">
        <w:rPr>
          <w:lang w:val="en"/>
        </w:rPr>
        <w:t xml:space="preserve">The whole methodology developed by OVHcloud and presented here aims at distributing the entirety of the company’s </w:t>
      </w:r>
      <w:r w:rsidR="003D339A">
        <w:rPr>
          <w:lang w:val="en"/>
        </w:rPr>
        <w:t>greenhouse gas</w:t>
      </w:r>
      <w:r w:rsidRPr="00541685">
        <w:rPr>
          <w:lang w:val="en"/>
        </w:rPr>
        <w:t xml:space="preserve"> emissions</w:t>
      </w:r>
      <w:r>
        <w:rPr>
          <w:shd w:val="clear" w:color="auto" w:fill="FFFFFF"/>
        </w:rPr>
        <w:t xml:space="preserve"> in a single document. </w:t>
      </w:r>
      <w:r w:rsidRPr="00541685">
        <w:rPr>
          <w:lang w:val="en"/>
        </w:rPr>
        <w:t>It is assumed that the whole company activity is dedicated to delivering the best services to its customers, and therefore all of its impacts must be considering in this reporting process.</w:t>
      </w:r>
      <w:r>
        <w:rPr>
          <w:shd w:val="clear" w:color="auto" w:fill="FFFFFF"/>
        </w:rPr>
        <w:t xml:space="preserve"> OVHcloud offers two different types of products:</w:t>
      </w:r>
    </w:p>
    <w:p w14:paraId="176CEDE6" w14:textId="12AAF425" w:rsidR="00DB4D57" w:rsidRDefault="00285909">
      <w:pPr>
        <w:pStyle w:val="Paragraphedeliste"/>
        <w:numPr>
          <w:ilvl w:val="0"/>
          <w:numId w:val="14"/>
        </w:numPr>
        <w:rPr>
          <w:shd w:val="clear" w:color="auto" w:fill="FFFFFF"/>
        </w:rPr>
      </w:pPr>
      <w:r>
        <w:rPr>
          <w:lang w:val="en"/>
        </w:rPr>
        <w:t>p</w:t>
      </w:r>
      <w:r w:rsidRPr="00541685">
        <w:rPr>
          <w:lang w:val="en"/>
        </w:rPr>
        <w:t>roducts that imply dedicated equipment to a customer</w:t>
      </w:r>
      <w:r>
        <w:rPr>
          <w:shd w:val="clear" w:color="auto" w:fill="FFFFFF"/>
        </w:rPr>
        <w:t xml:space="preserve">, i.e. a server. </w:t>
      </w:r>
      <w:r>
        <w:rPr>
          <w:lang w:val="en"/>
        </w:rPr>
        <w:t>T</w:t>
      </w:r>
      <w:r w:rsidRPr="00541685">
        <w:rPr>
          <w:lang w:val="en"/>
        </w:rPr>
        <w:t>he whole physical machine capacity and therefore all virtual machines hosted are dedicated</w:t>
      </w:r>
      <w:r>
        <w:rPr>
          <w:shd w:val="clear" w:color="auto" w:fill="FFFFFF"/>
        </w:rPr>
        <w:t>,</w:t>
      </w:r>
    </w:p>
    <w:p w14:paraId="48EF4980" w14:textId="12398DD6" w:rsidR="00DB4D57" w:rsidRPr="00285909" w:rsidRDefault="00285909" w:rsidP="00285909">
      <w:pPr>
        <w:pStyle w:val="Paragraphedeliste"/>
        <w:numPr>
          <w:ilvl w:val="0"/>
          <w:numId w:val="14"/>
        </w:numPr>
        <w:spacing w:before="0" w:after="0" w:line="312" w:lineRule="auto"/>
        <w:rPr>
          <w:lang w:val="en"/>
        </w:rPr>
      </w:pPr>
      <w:r>
        <w:rPr>
          <w:lang w:val="en"/>
        </w:rPr>
        <w:t>p</w:t>
      </w:r>
      <w:r w:rsidRPr="00541685">
        <w:rPr>
          <w:lang w:val="en"/>
        </w:rPr>
        <w:t>roducts hosted on servers which are mutualized between different customers.</w:t>
      </w:r>
    </w:p>
    <w:p w14:paraId="1AF7112D" w14:textId="092B60B1" w:rsidR="00DB4D57" w:rsidRDefault="00000000" w:rsidP="00137477">
      <w:r>
        <w:rPr>
          <w:shd w:val="clear" w:color="auto" w:fill="FFFFFF"/>
        </w:rPr>
        <w:t>OVHcloud offers are categorized in the</w:t>
      </w:r>
      <w:r w:rsidR="003D339A">
        <w:rPr>
          <w:shd w:val="clear" w:color="auto" w:fill="FFFFFF"/>
        </w:rPr>
        <w:t xml:space="preserve"> </w:t>
      </w:r>
      <w:r w:rsidR="00137477">
        <w:rPr>
          <w:shd w:val="clear" w:color="auto" w:fill="FFFFFF"/>
        </w:rPr>
        <w:fldChar w:fldCharType="begin"/>
      </w:r>
      <w:r w:rsidR="00137477">
        <w:rPr>
          <w:shd w:val="clear" w:color="auto" w:fill="FFFFFF"/>
        </w:rPr>
        <w:instrText xml:space="preserve"> REF _Ref201049670 \h </w:instrText>
      </w:r>
      <w:r w:rsidR="00137477">
        <w:rPr>
          <w:shd w:val="clear" w:color="auto" w:fill="FFFFFF"/>
        </w:rPr>
      </w:r>
      <w:r w:rsidR="00137477">
        <w:rPr>
          <w:shd w:val="clear" w:color="auto" w:fill="FFFFFF"/>
        </w:rPr>
        <w:fldChar w:fldCharType="separate"/>
      </w:r>
      <w:r w:rsidR="00137477">
        <w:t xml:space="preserve">Table </w:t>
      </w:r>
      <w:r w:rsidR="00137477">
        <w:rPr>
          <w:noProof/>
        </w:rPr>
        <w:t>3</w:t>
      </w:r>
      <w:r w:rsidR="00137477">
        <w:rPr>
          <w:shd w:val="clear" w:color="auto" w:fill="FFFFFF"/>
        </w:rPr>
        <w:fldChar w:fldCharType="end"/>
      </w:r>
      <w:r>
        <w:t>.</w:t>
      </w:r>
    </w:p>
    <w:p w14:paraId="4738D4B0" w14:textId="3A7F4D23" w:rsidR="00137477" w:rsidRDefault="00137477" w:rsidP="00137477">
      <w:pPr>
        <w:pStyle w:val="Lgende"/>
        <w:keepNext/>
      </w:pPr>
      <w:bookmarkStart w:id="46" w:name="_Ref201049670"/>
      <w:bookmarkStart w:id="47" w:name="_Toc202948846"/>
      <w:r>
        <w:t xml:space="preserve">Table </w:t>
      </w:r>
      <w:fldSimple w:instr=" SEQ Table \* ARABIC ">
        <w:r>
          <w:rPr>
            <w:noProof/>
          </w:rPr>
          <w:t>3</w:t>
        </w:r>
      </w:fldSimple>
      <w:bookmarkEnd w:id="46"/>
      <w:r>
        <w:t xml:space="preserve"> - </w:t>
      </w:r>
      <w:r w:rsidRPr="00C5709C">
        <w:t>Table of OVHcloud offers with the dedicated or mutualized services categorization</w:t>
      </w:r>
      <w:bookmarkEnd w:id="47"/>
    </w:p>
    <w:tbl>
      <w:tblPr>
        <w:tblStyle w:val="TableauGrille1Clair-Accentuation1"/>
        <w:tblW w:w="0" w:type="auto"/>
        <w:jc w:val="center"/>
        <w:tblLook w:val="04A0" w:firstRow="1" w:lastRow="0" w:firstColumn="1" w:lastColumn="0" w:noHBand="0" w:noVBand="1"/>
      </w:tblPr>
      <w:tblGrid>
        <w:gridCol w:w="4814"/>
        <w:gridCol w:w="4814"/>
      </w:tblGrid>
      <w:tr w:rsidR="001C7C2C" w14:paraId="5D0EDBD1" w14:textId="77777777" w:rsidTr="00247C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135AAE90" w14:textId="1F21C08B" w:rsidR="00DB4D57" w:rsidRDefault="00285909">
            <w:pPr>
              <w:pStyle w:val="En-ttedetabledesmatires"/>
              <w:rPr>
                <w:shd w:val="clear" w:color="auto" w:fill="FFFFFF"/>
              </w:rPr>
            </w:pPr>
            <w:r>
              <w:rPr>
                <w:shd w:val="clear" w:color="auto" w:fill="FFFFFF"/>
              </w:rPr>
              <w:t>OVHcloud Dedicated products</w:t>
            </w:r>
          </w:p>
        </w:tc>
        <w:tc>
          <w:tcPr>
            <w:tcW w:w="4814" w:type="dxa"/>
          </w:tcPr>
          <w:p w14:paraId="18E77B2B" w14:textId="5E62000D" w:rsidR="00DB4D57" w:rsidRDefault="00000000">
            <w:pPr>
              <w:pStyle w:val="En-ttedetabledesmatires"/>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OVHcloud </w:t>
            </w:r>
            <w:r w:rsidR="00285909">
              <w:rPr>
                <w:shd w:val="clear" w:color="auto" w:fill="FFFFFF"/>
              </w:rPr>
              <w:t>mutualized</w:t>
            </w:r>
            <w:r>
              <w:rPr>
                <w:shd w:val="clear" w:color="auto" w:fill="FFFFFF"/>
              </w:rPr>
              <w:t xml:space="preserve"> products</w:t>
            </w:r>
          </w:p>
        </w:tc>
      </w:tr>
      <w:tr w:rsidR="001C7C2C" w14:paraId="65B444F4" w14:textId="77777777" w:rsidTr="00247C47">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036CE496" w14:textId="7AF843EC" w:rsidR="00DB4D57" w:rsidRDefault="00000000">
            <w:pPr>
              <w:pStyle w:val="TableContents"/>
              <w:rPr>
                <w:b w:val="0"/>
                <w:bCs w:val="0"/>
              </w:rPr>
            </w:pPr>
            <w:r>
              <w:rPr>
                <w:b w:val="0"/>
                <w:bCs w:val="0"/>
              </w:rPr>
              <w:t>Baremetal</w:t>
            </w:r>
          </w:p>
        </w:tc>
        <w:tc>
          <w:tcPr>
            <w:tcW w:w="4814" w:type="dxa"/>
          </w:tcPr>
          <w:p w14:paraId="0389F84E" w14:textId="77777777" w:rsidR="00DB4D57" w:rsidRDefault="00000000">
            <w:pPr>
              <w:pStyle w:val="TableContents"/>
              <w:cnfStyle w:val="000000000000" w:firstRow="0" w:lastRow="0" w:firstColumn="0" w:lastColumn="0" w:oddVBand="0" w:evenVBand="0" w:oddHBand="0" w:evenHBand="0" w:firstRowFirstColumn="0" w:firstRowLastColumn="0" w:lastRowFirstColumn="0" w:lastRowLastColumn="0"/>
            </w:pPr>
            <w:r>
              <w:t>Public Cloud - Compute</w:t>
            </w:r>
          </w:p>
        </w:tc>
      </w:tr>
      <w:tr w:rsidR="001C7C2C" w14:paraId="43AB9035" w14:textId="77777777" w:rsidTr="00247C47">
        <w:trPr>
          <w:trHeight w:val="63"/>
          <w:jc w:val="center"/>
        </w:trPr>
        <w:tc>
          <w:tcPr>
            <w:cnfStyle w:val="001000000000" w:firstRow="0" w:lastRow="0" w:firstColumn="1" w:lastColumn="0" w:oddVBand="0" w:evenVBand="0" w:oddHBand="0" w:evenHBand="0" w:firstRowFirstColumn="0" w:firstRowLastColumn="0" w:lastRowFirstColumn="0" w:lastRowLastColumn="0"/>
            <w:tcW w:w="4814" w:type="dxa"/>
          </w:tcPr>
          <w:p w14:paraId="5F078972" w14:textId="77777777" w:rsidR="00DB4D57" w:rsidRDefault="00000000">
            <w:pPr>
              <w:pStyle w:val="TableContents"/>
              <w:rPr>
                <w:b w:val="0"/>
                <w:bCs w:val="0"/>
              </w:rPr>
            </w:pPr>
            <w:r>
              <w:rPr>
                <w:b w:val="0"/>
                <w:bCs w:val="0"/>
              </w:rPr>
              <w:t>Hosted Private Cloud</w:t>
            </w:r>
          </w:p>
        </w:tc>
        <w:tc>
          <w:tcPr>
            <w:tcW w:w="4814" w:type="dxa"/>
          </w:tcPr>
          <w:p w14:paraId="3F30D4B3" w14:textId="77777777" w:rsidR="00DB4D57" w:rsidRDefault="00000000">
            <w:pPr>
              <w:pStyle w:val="TableContents"/>
              <w:cnfStyle w:val="000000000000" w:firstRow="0" w:lastRow="0" w:firstColumn="0" w:lastColumn="0" w:oddVBand="0" w:evenVBand="0" w:oddHBand="0" w:evenHBand="0" w:firstRowFirstColumn="0" w:firstRowLastColumn="0" w:lastRowFirstColumn="0" w:lastRowLastColumn="0"/>
            </w:pPr>
            <w:r>
              <w:t>Public Cloud - Storage (Block)</w:t>
            </w:r>
          </w:p>
        </w:tc>
      </w:tr>
      <w:tr w:rsidR="001C7C2C" w14:paraId="0A5906A3" w14:textId="77777777" w:rsidTr="00247C47">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27C81CAB" w14:textId="77777777" w:rsidR="001C7C2C" w:rsidRPr="001C7C2C" w:rsidRDefault="001C7C2C" w:rsidP="001C7C2C">
            <w:pPr>
              <w:pStyle w:val="TableContents"/>
              <w:rPr>
                <w:b w:val="0"/>
                <w:bCs w:val="0"/>
              </w:rPr>
            </w:pPr>
          </w:p>
        </w:tc>
        <w:tc>
          <w:tcPr>
            <w:tcW w:w="4814" w:type="dxa"/>
          </w:tcPr>
          <w:p w14:paraId="4F5C9B49" w14:textId="77777777" w:rsidR="00DB4D57" w:rsidRDefault="00000000">
            <w:pPr>
              <w:pStyle w:val="TableContents"/>
              <w:cnfStyle w:val="000000000000" w:firstRow="0" w:lastRow="0" w:firstColumn="0" w:lastColumn="0" w:oddVBand="0" w:evenVBand="0" w:oddHBand="0" w:evenHBand="0" w:firstRowFirstColumn="0" w:firstRowLastColumn="0" w:lastRowFirstColumn="0" w:lastRowLastColumn="0"/>
            </w:pPr>
            <w:r>
              <w:t>Public Cloud - Storage (Object)</w:t>
            </w:r>
          </w:p>
        </w:tc>
      </w:tr>
      <w:tr w:rsidR="001C7C2C" w14:paraId="0E56DEB8" w14:textId="77777777" w:rsidTr="00247C47">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1460609A" w14:textId="77777777" w:rsidR="001C7C2C" w:rsidRPr="001C7C2C" w:rsidRDefault="001C7C2C" w:rsidP="001C7C2C">
            <w:pPr>
              <w:pStyle w:val="TableContents"/>
              <w:rPr>
                <w:b w:val="0"/>
                <w:bCs w:val="0"/>
              </w:rPr>
            </w:pPr>
          </w:p>
        </w:tc>
        <w:tc>
          <w:tcPr>
            <w:tcW w:w="4814" w:type="dxa"/>
          </w:tcPr>
          <w:p w14:paraId="2EBE2B91" w14:textId="16D940B2" w:rsidR="00DB4D57" w:rsidRDefault="00000000" w:rsidP="00137477">
            <w:pPr>
              <w:pStyle w:val="TableContents"/>
              <w:keepNext/>
              <w:cnfStyle w:val="000000000000" w:firstRow="0" w:lastRow="0" w:firstColumn="0" w:lastColumn="0" w:oddVBand="0" w:evenVBand="0" w:oddHBand="0" w:evenHBand="0" w:firstRowFirstColumn="0" w:firstRowLastColumn="0" w:lastRowFirstColumn="0" w:lastRowLastColumn="0"/>
            </w:pPr>
            <w:r>
              <w:t xml:space="preserve">Web </w:t>
            </w:r>
            <w:r w:rsidR="00285909">
              <w:t>H</w:t>
            </w:r>
            <w:r>
              <w:t>osting</w:t>
            </w:r>
          </w:p>
        </w:tc>
      </w:tr>
    </w:tbl>
    <w:p w14:paraId="509A30AB" w14:textId="2DE80F46" w:rsidR="00DB4D57" w:rsidRDefault="00285909">
      <w:r w:rsidRPr="00541685">
        <w:rPr>
          <w:lang w:val="en"/>
        </w:rPr>
        <w:lastRenderedPageBreak/>
        <w:t xml:space="preserve">These two kinds of offers must be considered separately in the </w:t>
      </w:r>
      <w:r>
        <w:rPr>
          <w:lang w:val="en"/>
        </w:rPr>
        <w:t>modeling</w:t>
      </w:r>
      <w:r w:rsidRPr="00541685">
        <w:rPr>
          <w:lang w:val="en"/>
        </w:rPr>
        <w:t xml:space="preserve"> process</w:t>
      </w:r>
      <w:r>
        <w:rPr>
          <w:shd w:val="clear" w:color="auto" w:fill="FFFFFF"/>
        </w:rPr>
        <w:t>. The rules for allocating the carbon footprint will vary and require different assumptions. Both approaches are presented below.</w:t>
      </w:r>
    </w:p>
    <w:p w14:paraId="4649E58A" w14:textId="77777777" w:rsidR="00DB4D57" w:rsidRDefault="00000000">
      <w:pPr>
        <w:pStyle w:val="Titre2"/>
      </w:pPr>
      <w:bookmarkStart w:id="48" w:name="_Toc202948816"/>
      <w:r>
        <w:t>Allocation method for dedicated products</w:t>
      </w:r>
      <w:bookmarkEnd w:id="48"/>
    </w:p>
    <w:p w14:paraId="1BF7BBAC" w14:textId="5B633FCA" w:rsidR="00DB4D57" w:rsidRDefault="00285909">
      <w:pPr>
        <w:rPr>
          <w:shd w:val="clear" w:color="auto" w:fill="FFFFFF"/>
        </w:rPr>
      </w:pPr>
      <w:r w:rsidRPr="00285909">
        <w:rPr>
          <w:shd w:val="clear" w:color="auto" w:fill="FFFFFF"/>
        </w:rPr>
        <w:t xml:space="preserve">Once the impacts of all the servers have been estimated, it results in a list of machines with associated amount of GHG emissions divided into three natures of emissions </w:t>
      </w:r>
      <w:r>
        <w:rPr>
          <w:shd w:val="clear" w:color="auto" w:fill="FFFFFF"/>
        </w:rPr>
        <w:t>- Manufacturing, Usage and Operations. In order to be able to communicate to each customer the emissions related to their use of OVHcloud products, the next step is to distribute these emissions to OVHcloud customers taking into account the services they have subscribed to and the infrastructure on which they are based.</w:t>
      </w:r>
    </w:p>
    <w:p w14:paraId="09E7757A" w14:textId="1BBCA2AC" w:rsidR="00DB4D57" w:rsidRDefault="00D86542">
      <w:pPr>
        <w:rPr>
          <w:shd w:val="clear" w:color="auto" w:fill="FFFFFF"/>
        </w:rPr>
      </w:pPr>
      <w:r w:rsidRPr="00541685">
        <w:t xml:space="preserve">Regarding the dedicated services, the customers have at their disposal a range of physical machines which can be operated whenever they want and to the capacity they want. It is then evident that for such services the whole carbon footprint associated with the dedicated servers must be allocated to the client who holds them. </w:t>
      </w:r>
      <w:r>
        <w:rPr>
          <w:shd w:val="clear" w:color="auto" w:fill="FFFFFF"/>
        </w:rPr>
        <w:t xml:space="preserve"> Once the list of dedicated servers for a customer has been identified, the emissions from each server related to the three categories (Manufacturing, Usage, Operations) are summed using the methods presented in the </w:t>
      </w:r>
      <w:r w:rsidR="00CF3017">
        <w:rPr>
          <w:shd w:val="clear" w:color="auto" w:fill="FFFFFF"/>
        </w:rPr>
        <w:fldChar w:fldCharType="begin"/>
      </w:r>
      <w:r w:rsidR="00CF3017">
        <w:rPr>
          <w:shd w:val="clear" w:color="auto" w:fill="FFFFFF"/>
        </w:rPr>
        <w:instrText xml:space="preserve"> REF _Ref190772200 \h </w:instrText>
      </w:r>
      <w:r w:rsidR="00CF3017">
        <w:rPr>
          <w:shd w:val="clear" w:color="auto" w:fill="FFFFFF"/>
        </w:rPr>
      </w:r>
      <w:r w:rsidR="00CF3017">
        <w:rPr>
          <w:shd w:val="clear" w:color="auto" w:fill="FFFFFF"/>
        </w:rPr>
        <w:fldChar w:fldCharType="separate"/>
      </w:r>
      <w:r>
        <w:t xml:space="preserve">Equation </w:t>
      </w:r>
      <w:r>
        <w:rPr>
          <w:noProof/>
        </w:rPr>
        <w:t>4</w:t>
      </w:r>
      <w:r w:rsidR="00CF3017">
        <w:rPr>
          <w:shd w:val="clear" w:color="auto" w:fill="FFFFFF"/>
        </w:rPr>
        <w:fldChar w:fldCharType="end"/>
      </w:r>
      <w:r>
        <w:rPr>
          <w:shd w:val="clear" w:color="auto" w:fill="FFFFFF"/>
        </w:rPr>
        <w:t>. Finally, customers can be presented with a carbon footprint encompassing the entire product lifecycle, broken down by datacentre and services.</w:t>
      </w:r>
    </w:p>
    <w:p w14:paraId="0F928172" w14:textId="77777777" w:rsidR="00DB4D57" w:rsidRDefault="00000000">
      <w:pPr>
        <w:pStyle w:val="Lgende"/>
        <w:keepNext/>
      </w:pPr>
      <w:bookmarkStart w:id="49" w:name="_Ref190772200"/>
      <w:bookmarkStart w:id="50" w:name="_Toc202948851"/>
      <w:r>
        <w:t xml:space="preserve">Equation </w:t>
      </w:r>
      <w:fldSimple w:instr=" SEQ Équation \* ARABIC ">
        <w:r w:rsidR="00DB4D57">
          <w:rPr>
            <w:noProof/>
          </w:rPr>
          <w:t>4</w:t>
        </w:r>
      </w:fldSimple>
      <w:bookmarkEnd w:id="49"/>
      <w:r>
        <w:t xml:space="preserve"> - Computing a customer's environmental footprint with dedicated servers</w:t>
      </w:r>
      <w:bookmarkEnd w:id="50"/>
    </w:p>
    <w:p w14:paraId="027CA7C4" w14:textId="45EE0A15" w:rsidR="00DB4D57" w:rsidRDefault="00000000">
      <w:pPr>
        <w:jc w:val="center"/>
      </w:pPr>
      <m:oMath>
        <m:sSub>
          <m:sSubPr>
            <m:ctrlPr>
              <w:rPr>
                <w:rFonts w:ascii="Cambria Math" w:hAnsi="Cambria Math"/>
              </w:rPr>
            </m:ctrlPr>
          </m:sSubPr>
          <m:e>
            <m:r>
              <w:rPr>
                <w:rFonts w:ascii="Cambria Math" w:hAnsi="Cambria Math"/>
              </w:rPr>
              <m:t>Footprint</m:t>
            </m:r>
          </m:e>
          <m:sub>
            <m:r>
              <w:rPr>
                <w:rFonts w:ascii="Cambria Math" w:hAnsi="Cambria Math"/>
              </w:rPr>
              <m:t>customer</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server</m:t>
            </m:r>
          </m:sub>
          <m:sup/>
          <m:e>
            <m:sSub>
              <m:sSubPr>
                <m:ctrlPr>
                  <w:rPr>
                    <w:rFonts w:ascii="Cambria Math" w:hAnsi="Cambria Math"/>
                    <w:i/>
                  </w:rPr>
                </m:ctrlPr>
              </m:sSubPr>
              <m:e>
                <m:r>
                  <w:rPr>
                    <w:rFonts w:ascii="Cambria Math" w:hAnsi="Cambria Math"/>
                  </w:rPr>
                  <m:t>(Server</m:t>
                </m:r>
              </m:e>
              <m:sub>
                <m:r>
                  <w:rPr>
                    <w:rFonts w:ascii="Cambria Math" w:hAnsi="Cambria Math"/>
                  </w:rPr>
                  <m:t>Manufacturing</m:t>
                </m:r>
              </m:sub>
            </m:sSub>
            <m:r>
              <w:rPr>
                <w:rFonts w:ascii="Cambria Math" w:hAnsi="Cambria Math"/>
              </w:rPr>
              <m:t xml:space="preserve">+ </m:t>
            </m:r>
            <m:sSub>
              <m:sSubPr>
                <m:ctrlPr>
                  <w:rPr>
                    <w:rFonts w:ascii="Cambria Math" w:hAnsi="Cambria Math"/>
                    <w:i/>
                  </w:rPr>
                </m:ctrlPr>
              </m:sSubPr>
              <m:e>
                <m:r>
                  <w:rPr>
                    <w:rFonts w:ascii="Cambria Math" w:hAnsi="Cambria Math"/>
                  </w:rPr>
                  <m:t>Server</m:t>
                </m:r>
              </m:e>
              <m:sub>
                <m:r>
                  <w:rPr>
                    <w:rFonts w:ascii="Cambria Math" w:hAnsi="Cambria Math"/>
                  </w:rPr>
                  <m:t>Usage</m:t>
                </m:r>
              </m:sub>
            </m:sSub>
            <m:r>
              <w:rPr>
                <w:rFonts w:ascii="Cambria Math" w:hAnsi="Cambria Math"/>
              </w:rPr>
              <m:t xml:space="preserve">+ </m:t>
            </m:r>
            <m:sSub>
              <m:sSubPr>
                <m:ctrlPr>
                  <w:rPr>
                    <w:rFonts w:ascii="Cambria Math" w:hAnsi="Cambria Math"/>
                    <w:i/>
                  </w:rPr>
                </m:ctrlPr>
              </m:sSubPr>
              <m:e>
                <m:r>
                  <w:rPr>
                    <w:rFonts w:ascii="Cambria Math" w:hAnsi="Cambria Math"/>
                  </w:rPr>
                  <m:t>Server</m:t>
                </m:r>
              </m:e>
              <m:sub>
                <m:r>
                  <w:rPr>
                    <w:rFonts w:ascii="Cambria Math" w:hAnsi="Cambria Math"/>
                  </w:rPr>
                  <m:t>Opérations</m:t>
                </m:r>
              </m:sub>
            </m:sSub>
          </m:e>
        </m:nary>
      </m:oMath>
      <w:r>
        <w:t>)</w:t>
      </w:r>
    </w:p>
    <w:p w14:paraId="29557E53" w14:textId="77777777" w:rsidR="00011A86" w:rsidRDefault="00011A86">
      <w:pPr>
        <w:jc w:val="center"/>
      </w:pPr>
    </w:p>
    <w:p w14:paraId="3BB0C381" w14:textId="012913C5" w:rsidR="00D86542" w:rsidRPr="00011A86" w:rsidRDefault="00000000" w:rsidP="00011A86">
      <w:pPr>
        <w:pStyle w:val="Citationintense"/>
        <w:rPr>
          <w:color w:val="050D9D"/>
        </w:rPr>
      </w:pPr>
      <w:r>
        <w:rPr>
          <w:color w:val="050D9D"/>
        </w:rPr>
        <w:t xml:space="preserve">For dedicated products (e.g. </w:t>
      </w:r>
      <w:r w:rsidR="00D86542">
        <w:rPr>
          <w:color w:val="050D9D"/>
        </w:rPr>
        <w:t>B</w:t>
      </w:r>
      <w:r>
        <w:rPr>
          <w:color w:val="050D9D"/>
        </w:rPr>
        <w:t>aremetal,</w:t>
      </w:r>
      <w:r w:rsidR="00D86542">
        <w:rPr>
          <w:color w:val="050D9D"/>
        </w:rPr>
        <w:t xml:space="preserve"> H</w:t>
      </w:r>
      <w:r>
        <w:rPr>
          <w:color w:val="050D9D"/>
        </w:rPr>
        <w:t xml:space="preserve">osted </w:t>
      </w:r>
      <w:r w:rsidR="00D86542">
        <w:rPr>
          <w:color w:val="050D9D"/>
        </w:rPr>
        <w:t>P</w:t>
      </w:r>
      <w:r>
        <w:rPr>
          <w:color w:val="050D9D"/>
        </w:rPr>
        <w:t xml:space="preserve">rivate </w:t>
      </w:r>
      <w:r w:rsidR="00D86542">
        <w:rPr>
          <w:color w:val="050D9D"/>
        </w:rPr>
        <w:t>C</w:t>
      </w:r>
      <w:r>
        <w:rPr>
          <w:color w:val="050D9D"/>
        </w:rPr>
        <w:t xml:space="preserve">loud), </w:t>
      </w:r>
      <w:bookmarkStart w:id="51" w:name="_Toc102585104"/>
      <w:bookmarkStart w:id="52" w:name="_Toc106117178"/>
      <w:bookmarkStart w:id="53" w:name="_Toc139365391"/>
      <w:r>
        <w:rPr>
          <w:color w:val="050D9D"/>
        </w:rPr>
        <w:t>all emissions associated with the</w:t>
      </w:r>
      <w:r w:rsidR="00D86542">
        <w:rPr>
          <w:color w:val="050D9D"/>
        </w:rPr>
        <w:t xml:space="preserve"> dedicated</w:t>
      </w:r>
      <w:r>
        <w:rPr>
          <w:color w:val="050D9D"/>
        </w:rPr>
        <w:t xml:space="preserve"> equipment are allocated</w:t>
      </w:r>
      <w:r w:rsidR="00D86542">
        <w:rPr>
          <w:color w:val="050D9D"/>
        </w:rPr>
        <w:t xml:space="preserve"> to the customer</w:t>
      </w:r>
      <w:r>
        <w:rPr>
          <w:color w:val="050D9D"/>
        </w:rPr>
        <w:t>.</w:t>
      </w:r>
      <w:bookmarkEnd w:id="51"/>
      <w:bookmarkEnd w:id="52"/>
      <w:bookmarkEnd w:id="53"/>
    </w:p>
    <w:p w14:paraId="37BA2B75" w14:textId="4D6EF566" w:rsidR="00DB4D57" w:rsidRDefault="00000000" w:rsidP="00D86542">
      <w:pPr>
        <w:pStyle w:val="Titre2"/>
      </w:pPr>
      <w:bookmarkStart w:id="54" w:name="_Toc202948817"/>
      <w:r>
        <w:t xml:space="preserve">Allocation method for </w:t>
      </w:r>
      <w:r w:rsidR="00D86542">
        <w:t>mutualized</w:t>
      </w:r>
      <w:r>
        <w:t xml:space="preserve"> products</w:t>
      </w:r>
      <w:bookmarkEnd w:id="54"/>
    </w:p>
    <w:p w14:paraId="7C220B15" w14:textId="10E1D39C" w:rsidR="00DB4D57" w:rsidRDefault="00000000">
      <w:pPr>
        <w:rPr>
          <w:u w:val="single"/>
        </w:rPr>
      </w:pPr>
      <w:r>
        <w:t xml:space="preserve">By </w:t>
      </w:r>
      <w:r w:rsidR="00D86542">
        <w:t>mutualizing</w:t>
      </w:r>
      <w:r>
        <w:t xml:space="preserve"> resources in a public cloud, you can distribute workloads across a shared infrastructure, via virtualized environments, thus optimizing resource usage.</w:t>
      </w:r>
    </w:p>
    <w:p w14:paraId="41100DD4" w14:textId="757384C6" w:rsidR="00DB4D57" w:rsidRDefault="00D86542">
      <w:r>
        <w:t xml:space="preserve">The environmental footprint of mutualized cloud services involves transferring the footprint of the physical environment to the shared environment. This way, the physical infrastructure footprint will be distributed among customers in proportion to their consumption of virtualized resources. </w:t>
      </w:r>
    </w:p>
    <w:p w14:paraId="1FEF58C2" w14:textId="1C3FEA4C" w:rsidR="00DB4D57" w:rsidRDefault="00000000">
      <w:pPr>
        <w:pStyle w:val="Titre3"/>
      </w:pPr>
      <w:bookmarkStart w:id="55" w:name="_Toc202948818"/>
      <w:r>
        <w:t xml:space="preserve">Specific methodological choices for allocating the footprint of </w:t>
      </w:r>
      <w:r w:rsidR="00D86542">
        <w:t>mutualized</w:t>
      </w:r>
      <w:r>
        <w:t xml:space="preserve"> products</w:t>
      </w:r>
      <w:bookmarkEnd w:id="55"/>
    </w:p>
    <w:p w14:paraId="3C2CBCAE" w14:textId="77777777" w:rsidR="00DB4D57" w:rsidRDefault="00000000">
      <w:pPr>
        <w:pStyle w:val="Titre4"/>
      </w:pPr>
      <w:r>
        <w:t>Approach to customer consumption</w:t>
      </w:r>
    </w:p>
    <w:p w14:paraId="1B4F2D83" w14:textId="1AC4B071" w:rsidR="00DB4D57" w:rsidRDefault="00000000">
      <w:r>
        <w:t xml:space="preserve">To determine each customer’s usage for </w:t>
      </w:r>
      <w:r w:rsidR="00D86542">
        <w:t>mutualized</w:t>
      </w:r>
      <w:r>
        <w:t xml:space="preserve"> services, OVHcloud has chosen to use the </w:t>
      </w:r>
      <w:r w:rsidR="00D86542">
        <w:t xml:space="preserve">billed </w:t>
      </w:r>
      <w:r>
        <w:t xml:space="preserve">services. This approach allows you to finely estimate the reserved consumption corresponding to the scaling of the resources provided by OVHcloud. This methodological choice guarantees accessibility to reliable and consolidated data, allowing the use of a robust calculation method that can be replicated to every OVHcloud customer. </w:t>
      </w:r>
    </w:p>
    <w:p w14:paraId="4791CD4F" w14:textId="29BCAC8C" w:rsidR="00DB4D57" w:rsidRDefault="00000000">
      <w:r>
        <w:t xml:space="preserve">Thus, the consumption metric is based on number and </w:t>
      </w:r>
      <w:r w:rsidR="00D86542">
        <w:t>reference template</w:t>
      </w:r>
      <w:r>
        <w:t xml:space="preserve"> (see </w:t>
      </w:r>
      <w:r w:rsidR="0028338C">
        <w:fldChar w:fldCharType="begin"/>
      </w:r>
      <w:r w:rsidR="0028338C">
        <w:instrText xml:space="preserve"> REF _Ref190787544 \h </w:instrText>
      </w:r>
      <w:r w:rsidR="0028338C">
        <w:fldChar w:fldCharType="separate"/>
      </w:r>
      <w:r>
        <w:t>Setting a reference template for instances</w:t>
      </w:r>
      <w:r w:rsidR="0028338C">
        <w:fldChar w:fldCharType="end"/>
      </w:r>
      <w:r>
        <w:t>) virtual machines (VMs) consumed for "</w:t>
      </w:r>
      <w:r>
        <w:rPr>
          <w:i/>
          <w:iCs/>
        </w:rPr>
        <w:t>Compute</w:t>
      </w:r>
      <w:r>
        <w:t>" services, and the volume of data stored for "</w:t>
      </w:r>
      <w:r>
        <w:rPr>
          <w:i/>
          <w:iCs/>
        </w:rPr>
        <w:t>Storage</w:t>
      </w:r>
      <w:r>
        <w:t>" services.</w:t>
      </w:r>
    </w:p>
    <w:p w14:paraId="3F7E3DEB" w14:textId="77777777" w:rsidR="00DB4D57" w:rsidRDefault="00000000">
      <w:pPr>
        <w:pStyle w:val="Titre4"/>
      </w:pPr>
      <w:r>
        <w:lastRenderedPageBreak/>
        <w:t>Global Infrastructure Approach</w:t>
      </w:r>
    </w:p>
    <w:p w14:paraId="691A41A0" w14:textId="1C7F68F0" w:rsidR="00DB4D57" w:rsidRDefault="00000000">
      <w:r>
        <w:t xml:space="preserve">Shared services, divided into different ranges, are based on a physical infrastructure similar to BareMetal services. The method used to determine the </w:t>
      </w:r>
      <w:r w:rsidR="00D86542">
        <w:t>footprint</w:t>
      </w:r>
      <w:r>
        <w:t xml:space="preserve"> of each physical server (</w:t>
      </w:r>
      <w:r w:rsidR="00D86542">
        <w:fldChar w:fldCharType="begin"/>
      </w:r>
      <w:r w:rsidR="00D86542">
        <w:instrText xml:space="preserve"> REF _Ref190355431 \h </w:instrText>
      </w:r>
      <w:r w:rsidR="00D86542">
        <w:fldChar w:fldCharType="separate"/>
      </w:r>
      <w:r w:rsidR="00D86542">
        <w:t>Approach used for calculation of the environmental footprint by server according to the life cycle stage</w:t>
      </w:r>
      <w:r w:rsidR="00D86542">
        <w:fldChar w:fldCharType="end"/>
      </w:r>
      <w:r>
        <w:t xml:space="preserve">) is replicated to estimate the footprint of the servers hosting the </w:t>
      </w:r>
      <w:r w:rsidR="00011A86">
        <w:t>mutualized</w:t>
      </w:r>
      <w:r>
        <w:t xml:space="preserve"> services. </w:t>
      </w:r>
    </w:p>
    <w:p w14:paraId="3F8C5D72" w14:textId="479490FC" w:rsidR="00137477" w:rsidRPr="00137477" w:rsidRDefault="003D339A" w:rsidP="003D339A">
      <w:r>
        <w:rPr>
          <w:noProof/>
        </w:rPr>
        <mc:AlternateContent>
          <mc:Choice Requires="wps">
            <w:drawing>
              <wp:anchor distT="0" distB="0" distL="114300" distR="114300" simplePos="0" relativeHeight="251716608" behindDoc="0" locked="0" layoutInCell="1" allowOverlap="1" wp14:anchorId="720F5770" wp14:editId="08D3CCC5">
                <wp:simplePos x="0" y="0"/>
                <wp:positionH relativeFrom="margin">
                  <wp:posOffset>927100</wp:posOffset>
                </wp:positionH>
                <wp:positionV relativeFrom="paragraph">
                  <wp:posOffset>4151279</wp:posOffset>
                </wp:positionV>
                <wp:extent cx="4791710" cy="635"/>
                <wp:effectExtent l="0" t="0" r="0" b="0"/>
                <wp:wrapTopAndBottom/>
                <wp:docPr id="1311911038" name="Zone de texte 1"/>
                <wp:cNvGraphicFramePr/>
                <a:graphic xmlns:a="http://schemas.openxmlformats.org/drawingml/2006/main">
                  <a:graphicData uri="http://schemas.microsoft.com/office/word/2010/wordprocessingShape">
                    <wps:wsp>
                      <wps:cNvSpPr txBox="1"/>
                      <wps:spPr>
                        <a:xfrm>
                          <a:off x="0" y="0"/>
                          <a:ext cx="4791710" cy="635"/>
                        </a:xfrm>
                        <a:prstGeom prst="rect">
                          <a:avLst/>
                        </a:prstGeom>
                        <a:solidFill>
                          <a:prstClr val="white"/>
                        </a:solidFill>
                        <a:ln>
                          <a:noFill/>
                        </a:ln>
                      </wps:spPr>
                      <wps:txbx>
                        <w:txbxContent>
                          <w:p w14:paraId="735D9F7B" w14:textId="5C51076D" w:rsidR="00137477" w:rsidRPr="009F0513" w:rsidRDefault="00137477" w:rsidP="00137477">
                            <w:pPr>
                              <w:pStyle w:val="Lgende"/>
                              <w:rPr>
                                <w:rFonts w:cstheme="majorHAnsi"/>
                              </w:rPr>
                            </w:pPr>
                            <w:bookmarkStart w:id="56" w:name="_Ref201049257"/>
                            <w:bookmarkStart w:id="57" w:name="_Toc202948842"/>
                            <w:r>
                              <w:t xml:space="preserve">Figure </w:t>
                            </w:r>
                            <w:fldSimple w:instr=" SEQ Figure \* ARABIC ">
                              <w:r w:rsidR="00AB593C">
                                <w:rPr>
                                  <w:noProof/>
                                </w:rPr>
                                <w:t>7</w:t>
                              </w:r>
                            </w:fldSimple>
                            <w:bookmarkEnd w:id="56"/>
                            <w:r>
                              <w:t xml:space="preserve"> - </w:t>
                            </w:r>
                            <w:r w:rsidRPr="00780423">
                              <w:t>Heterogeneous configuration of servers hosting a Public Cloud range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0F5770" id="_x0000_s1033" type="#_x0000_t202" style="position:absolute;left:0;text-align:left;margin-left:73pt;margin-top:326.85pt;width:377.3pt;height:.0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" stroked="f">
                <v:textbox style="mso-fit-shape-to-text:t" inset="0,0,0,0">
                  <w:txbxContent>
                    <w:p w14:paraId="735D9F7B" w14:textId="5C51076D" w:rsidR="00137477" w:rsidRPr="009F0513" w:rsidRDefault="00137477" w:rsidP="00137477">
                      <w:pPr>
                        <w:pStyle w:val="Lgende"/>
                        <w:rPr>
                          <w:rFonts w:cstheme="majorHAnsi"/>
                        </w:rPr>
                      </w:pPr>
                      <w:bookmarkStart w:id="117" w:name="_Ref201049257"/>
                      <w:bookmarkStart w:id="118" w:name="_Toc202948842"/>
                      <w:r>
                        <w:t xml:space="preserve">Figure </w:t>
                      </w:r>
                      <w:fldSimple w:instr=" SEQ Figure \* ARABIC ">
                        <w:r w:rsidR="00AB593C">
                          <w:rPr>
                            <w:noProof/>
                          </w:rPr>
                          <w:t>7</w:t>
                        </w:r>
                      </w:fldSimple>
                      <w:bookmarkEnd w:id="117"/>
                      <w:r>
                        <w:t xml:space="preserve"> - </w:t>
                      </w:r>
                      <w:r w:rsidRPr="00780423">
                        <w:t>Heterogeneous configuration of servers hosting a Public Cloud range</w:t>
                      </w:r>
                      <w:bookmarkEnd w:id="118"/>
                    </w:p>
                  </w:txbxContent>
                </v:textbox>
                <w10:wrap type="topAndBottom" anchorx="margin"/>
              </v:shape>
            </w:pict>
          </mc:Fallback>
        </mc:AlternateContent>
      </w:r>
      <w:r w:rsidR="00137477" w:rsidRPr="00137477">
        <w:rPr>
          <w:noProof/>
        </w:rPr>
        <w:drawing>
          <wp:anchor distT="0" distB="0" distL="114300" distR="114300" simplePos="0" relativeHeight="251714560" behindDoc="0" locked="0" layoutInCell="1" allowOverlap="1" wp14:anchorId="23540BC0" wp14:editId="50B6AC0F">
            <wp:simplePos x="0" y="0"/>
            <wp:positionH relativeFrom="margin">
              <wp:align>center</wp:align>
            </wp:positionH>
            <wp:positionV relativeFrom="paragraph">
              <wp:posOffset>1414145</wp:posOffset>
            </wp:positionV>
            <wp:extent cx="3060000" cy="2628216"/>
            <wp:effectExtent l="0" t="0" r="1270" b="1270"/>
            <wp:wrapTopAndBottom/>
            <wp:docPr id="160703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3039" name=""/>
                    <pic:cNvPicPr/>
                  </pic:nvPicPr>
                  <pic:blipFill rotWithShape="1">
                    <a:blip r:embed="rId21">
                      <a:extLst>
                        <a:ext uri="{28A0092B-C50C-407E-A947-70E740481C1C}">
                          <a14:useLocalDpi xmlns:a14="http://schemas.microsoft.com/office/drawing/2010/main" val="0"/>
                        </a:ext>
                      </a:extLst>
                    </a:blip>
                    <a:srcRect l="7502" t="9839" r="5813" b="5087"/>
                    <a:stretch>
                      <a:fillRect/>
                    </a:stretch>
                  </pic:blipFill>
                  <pic:spPr bwMode="auto">
                    <a:xfrm>
                      <a:off x="0" y="0"/>
                      <a:ext cx="3060000" cy="2628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477">
        <w:t xml:space="preserve">However, due to the </w:t>
      </w:r>
      <w:r w:rsidR="00011A86">
        <w:t>mutualized</w:t>
      </w:r>
      <w:r w:rsidR="00137477">
        <w:t xml:space="preserve"> nature of the services, the fact that a specific resource is not allocated to a customer, and due to the possible heterogeneous configuration of the servers hosting each range, OVHcloud has chosen to consolidate the environmental footprint into a total footprint, on the scale of the global infrastructure of the servers making up the range (</w:t>
      </w:r>
      <w:r w:rsidR="00137477">
        <w:fldChar w:fldCharType="begin"/>
      </w:r>
      <w:r w:rsidR="00137477">
        <w:instrText xml:space="preserve"> REF _Ref201049257 \h </w:instrText>
      </w:r>
      <w:r w:rsidR="00137477">
        <w:fldChar w:fldCharType="separate"/>
      </w:r>
      <w:r w:rsidR="001746E1">
        <w:t xml:space="preserve">Figure </w:t>
      </w:r>
      <w:r w:rsidR="001746E1">
        <w:rPr>
          <w:noProof/>
        </w:rPr>
        <w:t>7</w:t>
      </w:r>
      <w:r w:rsidR="00137477">
        <w:fldChar w:fldCharType="end"/>
      </w:r>
      <w:r w:rsidR="00137477">
        <w:t xml:space="preserve">). This averaging ensures a consistent footprint estimate for the customer, who will only see small variations in the footprint for the same service due to the dynamic operation of </w:t>
      </w:r>
      <w:r w:rsidR="00011A86">
        <w:t>mutualized</w:t>
      </w:r>
      <w:r w:rsidR="00137477">
        <w:t xml:space="preserve"> infrastructure.</w:t>
      </w:r>
      <w:r w:rsidR="00137477">
        <w:tab/>
      </w:r>
    </w:p>
    <w:p w14:paraId="33A360BC" w14:textId="0378AD14" w:rsidR="00DB4D57" w:rsidRDefault="00137477">
      <w:pPr>
        <w:pStyle w:val="Titre4"/>
      </w:pPr>
      <w:r>
        <w:t>Architecture of mutualized products</w:t>
      </w:r>
    </w:p>
    <w:p w14:paraId="1DC2E6E3" w14:textId="3B4EF27C" w:rsidR="00DB4D57" w:rsidRDefault="00000000">
      <w:pPr>
        <w:spacing w:after="160" w:line="278" w:lineRule="auto"/>
      </w:pPr>
      <w:r>
        <w:t xml:space="preserve">The architecture of the </w:t>
      </w:r>
      <w:r w:rsidR="00137477">
        <w:t>P</w:t>
      </w:r>
      <w:r>
        <w:t xml:space="preserve">ublic </w:t>
      </w:r>
      <w:r w:rsidR="00137477">
        <w:t>C</w:t>
      </w:r>
      <w:r>
        <w:t>loud is schematically divided into two main components:</w:t>
      </w:r>
    </w:p>
    <w:p w14:paraId="59205D18" w14:textId="6CB45D14" w:rsidR="00DB4D57" w:rsidRDefault="00000000">
      <w:pPr>
        <w:pStyle w:val="Paragraphedeliste"/>
        <w:numPr>
          <w:ilvl w:val="0"/>
          <w:numId w:val="13"/>
        </w:numPr>
      </w:pPr>
      <w:r>
        <w:rPr>
          <w:rFonts w:eastAsiaTheme="majorEastAsia"/>
        </w:rPr>
        <w:t>The</w:t>
      </w:r>
      <w:r>
        <w:t xml:space="preserve"> </w:t>
      </w:r>
      <w:r w:rsidR="00137477">
        <w:t xml:space="preserve">first </w:t>
      </w:r>
      <w:r>
        <w:t xml:space="preserve">part that runs client workloads. It groups together the physical servers on which virtual instances are deployed, and the storage systems. This part uses hardware resources and electricity to run the virtual machines, and is subject to an Operations footprint. </w:t>
      </w:r>
    </w:p>
    <w:p w14:paraId="49A03843" w14:textId="77777777" w:rsidR="00DB4D57" w:rsidRDefault="00000000">
      <w:pPr>
        <w:pStyle w:val="Paragraphedeliste"/>
        <w:numPr>
          <w:ilvl w:val="0"/>
          <w:numId w:val="13"/>
        </w:numPr>
      </w:pPr>
      <w:r>
        <w:rPr>
          <w:rFonts w:eastAsiaTheme="majorEastAsia"/>
        </w:rPr>
        <w:t xml:space="preserve">A second part </w:t>
      </w:r>
      <w:r>
        <w:t>includes the infrastructure for management and orchestration. This includes, but is not limited to, dedicated servers for resource management and allocation, internal databases, and API services that allow users to create, modify, or delete their instances. It does not run business applications directly, but it also consumes energy and represents an environmental footprint (server manufacture and operation, network maintenance, monitoring, etc.).</w:t>
      </w:r>
    </w:p>
    <w:p w14:paraId="229B3450" w14:textId="77777777" w:rsidR="00DB4D57" w:rsidRDefault="00000000">
      <w:pPr>
        <w:spacing w:after="160" w:line="278" w:lineRule="auto"/>
      </w:pPr>
      <w:r>
        <w:t xml:space="preserve">Accounting for each of the two parts </w:t>
      </w:r>
      <w:r>
        <w:rPr>
          <w:rFonts w:eastAsiaTheme="majorEastAsia"/>
        </w:rPr>
        <w:t>independently</w:t>
      </w:r>
      <w:r>
        <w:t xml:space="preserve"> therefore provides a clearer picture of the service’s total environmental footprint and a better distribution of emissions between the different customers.</w:t>
      </w:r>
    </w:p>
    <w:p w14:paraId="3732AFF6" w14:textId="77777777" w:rsidR="00DB4D57" w:rsidRDefault="00000000">
      <w:pPr>
        <w:pStyle w:val="Titre3"/>
      </w:pPr>
      <w:bookmarkStart w:id="58" w:name="_Toc202948819"/>
      <w:r>
        <w:lastRenderedPageBreak/>
        <w:t>Perimeter Public Cloud Computing</w:t>
      </w:r>
      <w:bookmarkEnd w:id="58"/>
    </w:p>
    <w:p w14:paraId="2E955479" w14:textId="77777777" w:rsidR="00DB4D57" w:rsidRDefault="00000000">
      <w:pPr>
        <w:pStyle w:val="Titre4"/>
      </w:pPr>
      <w:bookmarkStart w:id="59" w:name="_Ref190787544"/>
      <w:r>
        <w:t>Setting a reference template for instances</w:t>
      </w:r>
      <w:bookmarkEnd w:id="59"/>
    </w:p>
    <w:p w14:paraId="31D67336" w14:textId="2EA45970" w:rsidR="00DB4D57" w:rsidRDefault="00000000">
      <w:r>
        <w:t xml:space="preserve">To harmonize the comparison between different sizes of instances, even within a range, a </w:t>
      </w:r>
      <w:r>
        <w:rPr>
          <w:rFonts w:eastAsiaTheme="majorEastAsia"/>
        </w:rPr>
        <w:t>reference template</w:t>
      </w:r>
      <w:r>
        <w:t xml:space="preserve"> has been defined. For each of the ranges, this instance template corresponds to the smallest configuration (</w:t>
      </w:r>
      <w:r w:rsidR="00137477">
        <w:fldChar w:fldCharType="begin"/>
      </w:r>
      <w:r w:rsidR="00137477">
        <w:instrText xml:space="preserve"> REF _Ref201049650 \h </w:instrText>
      </w:r>
      <w:r w:rsidR="00137477">
        <w:fldChar w:fldCharType="separate"/>
      </w:r>
      <w:r w:rsidR="00137477">
        <w:fldChar w:fldCharType="end"/>
      </w:r>
      <w:r w:rsidR="00137477">
        <w:fldChar w:fldCharType="begin"/>
      </w:r>
      <w:r w:rsidR="00137477">
        <w:instrText xml:space="preserve"> REF _Ref201049654 \h </w:instrText>
      </w:r>
      <w:r w:rsidR="00137477">
        <w:fldChar w:fldCharType="separate"/>
      </w:r>
      <w:r w:rsidR="00137477">
        <w:t xml:space="preserve">Table </w:t>
      </w:r>
      <w:r w:rsidR="00137477">
        <w:rPr>
          <w:noProof/>
        </w:rPr>
        <w:t>4</w:t>
      </w:r>
      <w:r w:rsidR="00137477">
        <w:fldChar w:fldCharType="end"/>
      </w:r>
      <w:r w:rsidR="00B7051E">
        <w:fldChar w:fldCharType="begin"/>
      </w:r>
      <w:r w:rsidR="00B7051E">
        <w:instrText xml:space="preserve"> REF _Ref190962515 \h </w:instrText>
      </w:r>
      <w:r w:rsidR="00B7051E">
        <w:fldChar w:fldCharType="separate"/>
      </w:r>
      <w:r w:rsidR="00B7051E">
        <w:fldChar w:fldCharType="end"/>
      </w:r>
      <w:r>
        <w:t xml:space="preserve">). The other </w:t>
      </w:r>
      <w:r w:rsidR="00137477">
        <w:t>configurations</w:t>
      </w:r>
      <w:r>
        <w:t xml:space="preserve"> are then expressed as a multiple of each reference template. This approach facilitates the subsequent allocation of the environmental footprint. The parameters generally taken into account to characterize an instance are:</w:t>
      </w:r>
    </w:p>
    <w:p w14:paraId="0B0E9C83" w14:textId="77777777" w:rsidR="00DB4D57" w:rsidRDefault="00000000">
      <w:pPr>
        <w:pStyle w:val="Paragraphedeliste"/>
        <w:numPr>
          <w:ilvl w:val="0"/>
          <w:numId w:val="17"/>
        </w:numPr>
      </w:pPr>
      <w:r>
        <w:t>The number of vCPUs,</w:t>
      </w:r>
    </w:p>
    <w:p w14:paraId="4A97026A" w14:textId="77777777" w:rsidR="00DB4D57" w:rsidRDefault="00000000">
      <w:pPr>
        <w:pStyle w:val="Paragraphedeliste"/>
        <w:numPr>
          <w:ilvl w:val="0"/>
          <w:numId w:val="17"/>
        </w:numPr>
      </w:pPr>
      <w:r>
        <w:t>The amount of RAM,</w:t>
      </w:r>
    </w:p>
    <w:p w14:paraId="1E447886" w14:textId="77777777" w:rsidR="00DB4D57" w:rsidRDefault="00000000">
      <w:pPr>
        <w:pStyle w:val="Paragraphedeliste"/>
        <w:numPr>
          <w:ilvl w:val="0"/>
          <w:numId w:val="17"/>
        </w:numPr>
      </w:pPr>
      <w:r>
        <w:t>Storage capacity,</w:t>
      </w:r>
    </w:p>
    <w:p w14:paraId="38E90FB6" w14:textId="3E082E3C" w:rsidR="00BA2960" w:rsidRDefault="003D339A" w:rsidP="00BA2960">
      <w:pPr>
        <w:pStyle w:val="Paragraphedeliste"/>
        <w:numPr>
          <w:ilvl w:val="0"/>
          <w:numId w:val="17"/>
        </w:numPr>
      </w:pPr>
      <w:r>
        <w:rPr>
          <w:noProof/>
        </w:rPr>
        <mc:AlternateContent>
          <mc:Choice Requires="wps">
            <w:drawing>
              <wp:anchor distT="0" distB="0" distL="114300" distR="114300" simplePos="0" relativeHeight="251719680" behindDoc="0" locked="0" layoutInCell="1" allowOverlap="1" wp14:anchorId="074E99FE" wp14:editId="3C439EAE">
                <wp:simplePos x="0" y="0"/>
                <wp:positionH relativeFrom="column">
                  <wp:posOffset>0</wp:posOffset>
                </wp:positionH>
                <wp:positionV relativeFrom="paragraph">
                  <wp:posOffset>390525</wp:posOffset>
                </wp:positionV>
                <wp:extent cx="6645910" cy="635"/>
                <wp:effectExtent l="0" t="0" r="0" b="0"/>
                <wp:wrapTopAndBottom/>
                <wp:docPr id="1041568330" name="Zone de texte 1"/>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218E067F" w14:textId="3693C967" w:rsidR="00137477" w:rsidRPr="00601405" w:rsidRDefault="00137477" w:rsidP="00137477">
                            <w:pPr>
                              <w:pStyle w:val="Lgende"/>
                              <w:rPr>
                                <w:rFonts w:cstheme="majorHAnsi"/>
                              </w:rPr>
                            </w:pPr>
                            <w:bookmarkStart w:id="60" w:name="_Ref201049654"/>
                            <w:bookmarkStart w:id="61" w:name="_Ref201049650"/>
                            <w:bookmarkStart w:id="62" w:name="_Toc202948847"/>
                            <w:r>
                              <w:t xml:space="preserve">Table </w:t>
                            </w:r>
                            <w:fldSimple w:instr=" SEQ Table \* ARABIC ">
                              <w:r>
                                <w:rPr>
                                  <w:noProof/>
                                </w:rPr>
                                <w:t>4</w:t>
                              </w:r>
                            </w:fldSimple>
                            <w:bookmarkEnd w:id="60"/>
                            <w:r>
                              <w:t xml:space="preserve"> - R</w:t>
                            </w:r>
                            <w:r w:rsidRPr="007C4C52">
                              <w:t xml:space="preserve">eference template </w:t>
                            </w:r>
                            <w:r>
                              <w:t xml:space="preserve">of </w:t>
                            </w:r>
                            <w:r w:rsidRPr="007C4C52">
                              <w:t xml:space="preserve"> b3 </w:t>
                            </w:r>
                            <w:r>
                              <w:t>range</w:t>
                            </w:r>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E99FE" id="_x0000_s1034" type="#_x0000_t202" style="position:absolute;left:0;text-align:left;margin-left:0;margin-top:30.75pt;width:523.3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" stroked="f">
                <v:textbox style="mso-fit-shape-to-text:t" inset="0,0,0,0">
                  <w:txbxContent>
                    <w:p w14:paraId="218E067F" w14:textId="3693C967" w:rsidR="00137477" w:rsidRPr="00601405" w:rsidRDefault="00137477" w:rsidP="00137477">
                      <w:pPr>
                        <w:pStyle w:val="Lgende"/>
                        <w:rPr>
                          <w:rFonts w:cstheme="majorHAnsi"/>
                        </w:rPr>
                      </w:pPr>
                      <w:bookmarkStart w:id="124" w:name="_Ref201049654"/>
                      <w:bookmarkStart w:id="125" w:name="_Ref201049650"/>
                      <w:bookmarkStart w:id="126" w:name="_Toc202948847"/>
                      <w:r>
                        <w:t xml:space="preserve">Table </w:t>
                      </w:r>
                      <w:fldSimple w:instr=" SEQ Table \* ARABIC ">
                        <w:r>
                          <w:rPr>
                            <w:noProof/>
                          </w:rPr>
                          <w:t>4</w:t>
                        </w:r>
                      </w:fldSimple>
                      <w:bookmarkEnd w:id="124"/>
                      <w:r>
                        <w:t xml:space="preserve"> - R</w:t>
                      </w:r>
                      <w:r w:rsidRPr="007C4C52">
                        <w:t xml:space="preserve">eference template </w:t>
                      </w:r>
                      <w:r>
                        <w:t xml:space="preserve">of </w:t>
                      </w:r>
                      <w:r w:rsidRPr="007C4C52">
                        <w:t xml:space="preserve"> b3 </w:t>
                      </w:r>
                      <w:r>
                        <w:t>range</w:t>
                      </w:r>
                      <w:bookmarkEnd w:id="125"/>
                      <w:bookmarkEnd w:id="126"/>
                    </w:p>
                  </w:txbxContent>
                </v:textbox>
                <w10:wrap type="topAndBottom"/>
              </v:shape>
            </w:pict>
          </mc:Fallback>
        </mc:AlternateContent>
      </w:r>
      <w:r w:rsidRPr="00137477">
        <w:rPr>
          <w:noProof/>
        </w:rPr>
        <w:drawing>
          <wp:anchor distT="0" distB="0" distL="114300" distR="114300" simplePos="0" relativeHeight="251717632" behindDoc="0" locked="0" layoutInCell="1" allowOverlap="1" wp14:anchorId="5A821561" wp14:editId="5AE28B03">
            <wp:simplePos x="0" y="0"/>
            <wp:positionH relativeFrom="margin">
              <wp:posOffset>0</wp:posOffset>
            </wp:positionH>
            <wp:positionV relativeFrom="paragraph">
              <wp:posOffset>690448</wp:posOffset>
            </wp:positionV>
            <wp:extent cx="6645910" cy="2583815"/>
            <wp:effectExtent l="0" t="0" r="0" b="0"/>
            <wp:wrapTopAndBottom/>
            <wp:docPr id="685347925"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7925" name="Image 1" descr="Une image contenant texte, capture d’écran, ligne, Polic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6645910" cy="2583815"/>
                    </a:xfrm>
                    <a:prstGeom prst="rect">
                      <a:avLst/>
                    </a:prstGeom>
                  </pic:spPr>
                </pic:pic>
              </a:graphicData>
            </a:graphic>
            <wp14:sizeRelH relativeFrom="page">
              <wp14:pctWidth>0</wp14:pctWidth>
            </wp14:sizeRelH>
            <wp14:sizeRelV relativeFrom="page">
              <wp14:pctHeight>0</wp14:pctHeight>
            </wp14:sizeRelV>
          </wp:anchor>
        </w:drawing>
      </w:r>
      <w:r w:rsidR="00137477">
        <w:t>The possible presence of GPUs.</w:t>
      </w:r>
    </w:p>
    <w:p w14:paraId="00F92939" w14:textId="77777777" w:rsidR="00DB4D57" w:rsidRDefault="00000000">
      <w:pPr>
        <w:pStyle w:val="Titre4"/>
      </w:pPr>
      <w:r>
        <w:t>Calculate total server hosting capacity</w:t>
      </w:r>
    </w:p>
    <w:p w14:paraId="71AF220E" w14:textId="77777777" w:rsidR="00DB4D57" w:rsidRDefault="00000000">
      <w:r>
        <w:t xml:space="preserve">For each range, to assess how the environmental footprint is distributed at the instance level, you need to know the </w:t>
      </w:r>
      <w:r>
        <w:rPr>
          <w:rFonts w:eastAsiaTheme="majorEastAsia"/>
        </w:rPr>
        <w:t>total capacity</w:t>
      </w:r>
      <w:r>
        <w:t xml:space="preserve"> of the servers in the range, using the equivalent reference template.</w:t>
      </w:r>
    </w:p>
    <w:p w14:paraId="66BA75AF" w14:textId="77777777" w:rsidR="00DB4D57" w:rsidRDefault="00000000">
      <w:r>
        <w:t>Specifically, for each type of host server:</w:t>
      </w:r>
    </w:p>
    <w:p w14:paraId="1A41B6E2" w14:textId="77777777" w:rsidR="00DB4D57" w:rsidRDefault="00000000">
      <w:pPr>
        <w:pStyle w:val="Paragraphedeliste"/>
        <w:numPr>
          <w:ilvl w:val="0"/>
          <w:numId w:val="21"/>
        </w:numPr>
      </w:pPr>
      <w:r>
        <w:t>The number of instances of the reference template that can be accommodated next to the CPU and RAM is determined. The lower value of these two criteria is used, so that a single resource is not saturated.</w:t>
      </w:r>
    </w:p>
    <w:p w14:paraId="6611BCB0" w14:textId="77777777" w:rsidR="00DB4D57" w:rsidRDefault="00000000">
      <w:pPr>
        <w:pStyle w:val="Paragraphedeliste"/>
        <w:numPr>
          <w:ilvl w:val="0"/>
          <w:numId w:val="21"/>
        </w:numPr>
      </w:pPr>
      <w:r>
        <w:t>These capacities are added up for all of the physical servers that make up the services hosted for customers.</w:t>
      </w:r>
    </w:p>
    <w:p w14:paraId="51809BCE" w14:textId="77777777" w:rsidR="00DB4D57" w:rsidRDefault="00000000">
      <w:pPr>
        <w:pStyle w:val="Titre4"/>
      </w:pPr>
      <w:r>
        <w:t>Reduce the unit environmental footprint to a reference instance</w:t>
      </w:r>
    </w:p>
    <w:p w14:paraId="4DE60EF1" w14:textId="77777777" w:rsidR="00DB4D57" w:rsidRDefault="00000000">
      <w:r>
        <w:t xml:space="preserve">Once the </w:t>
      </w:r>
      <w:r>
        <w:rPr>
          <w:rFonts w:eastAsiaTheme="majorEastAsia"/>
        </w:rPr>
        <w:t>overall environmental footprint</w:t>
      </w:r>
      <w:r>
        <w:t xml:space="preserve"> of servers in a range is known, as well as the </w:t>
      </w:r>
      <w:r>
        <w:rPr>
          <w:rFonts w:eastAsiaTheme="majorEastAsia"/>
        </w:rPr>
        <w:t>total capacity</w:t>
      </w:r>
      <w:r>
        <w:t xml:space="preserve"> in</w:t>
      </w:r>
      <w:r>
        <w:rPr>
          <w:rFonts w:eastAsiaTheme="majorEastAsia"/>
        </w:rPr>
        <w:t xml:space="preserve"> instance</w:t>
      </w:r>
      <w:r>
        <w:t xml:space="preserve"> as a reference template equivalent, it becomes possible to calculate the </w:t>
      </w:r>
      <w:r>
        <w:rPr>
          <w:rFonts w:eastAsiaTheme="majorEastAsia"/>
        </w:rPr>
        <w:t>average carbon footprint of a reference instance (</w:t>
      </w:r>
      <w:r w:rsidR="005B6CCD">
        <w:rPr>
          <w:rFonts w:eastAsiaTheme="majorEastAsia"/>
        </w:rPr>
        <w:fldChar w:fldCharType="begin"/>
      </w:r>
      <w:r w:rsidR="005B6CCD">
        <w:rPr>
          <w:rFonts w:eastAsiaTheme="majorEastAsia"/>
        </w:rPr>
        <w:instrText xml:space="preserve"> REF _Ref190963176 \h </w:instrText>
      </w:r>
      <w:r w:rsidR="005B6CCD">
        <w:rPr>
          <w:rFonts w:eastAsiaTheme="majorEastAsia"/>
        </w:rPr>
      </w:r>
      <w:r w:rsidR="005B6CCD">
        <w:rPr>
          <w:rFonts w:eastAsiaTheme="majorEastAsia"/>
        </w:rPr>
        <w:fldChar w:fldCharType="separate"/>
      </w:r>
      <w:r>
        <w:t xml:space="preserve">Equation </w:t>
      </w:r>
      <w:r>
        <w:rPr>
          <w:noProof/>
        </w:rPr>
        <w:t>5</w:t>
      </w:r>
      <w:r w:rsidR="005B6CCD">
        <w:rPr>
          <w:rFonts w:eastAsiaTheme="majorEastAsia"/>
        </w:rPr>
        <w:fldChar w:fldCharType="end"/>
      </w:r>
      <w:r>
        <w:rPr>
          <w:rFonts w:eastAsiaTheme="majorEastAsia"/>
        </w:rPr>
        <w:t>)</w:t>
      </w:r>
      <w:r>
        <w:t xml:space="preserve">. This calculation makes it possible to determine the average footprint of a VM, based on an hour of use, in each range. </w:t>
      </w:r>
    </w:p>
    <w:p w14:paraId="0DD81CFA" w14:textId="77777777" w:rsidR="00DB4D57" w:rsidRDefault="00000000">
      <w:pPr>
        <w:pStyle w:val="Lgende"/>
        <w:keepNext/>
      </w:pPr>
      <w:bookmarkStart w:id="63" w:name="_Ref190963176"/>
      <w:bookmarkStart w:id="64" w:name="_Toc202948852"/>
      <w:r>
        <w:lastRenderedPageBreak/>
        <w:t xml:space="preserve">Equation </w:t>
      </w:r>
      <w:fldSimple w:instr=" SEQ Équation \* ARABIC ">
        <w:r w:rsidR="00DB4D57">
          <w:rPr>
            <w:noProof/>
          </w:rPr>
          <w:t>5</w:t>
        </w:r>
      </w:fldSimple>
      <w:bookmarkEnd w:id="63"/>
      <w:r>
        <w:t xml:space="preserve"> - Calculation of the environmental footprint of an instance of the reference template</w:t>
      </w:r>
      <w:bookmarkEnd w:id="64"/>
    </w:p>
    <w:p w14:paraId="550B9B02" w14:textId="0F015E5D" w:rsidR="006F20F8" w:rsidRDefault="00000000" w:rsidP="006F20F8">
      <m:oMathPara>
        <m:oMath>
          <m:sSub>
            <m:sSubPr>
              <m:ctrlPr>
                <w:rPr>
                  <w:rFonts w:ascii="Cambria Math" w:hAnsi="Cambria Math"/>
                </w:rPr>
              </m:ctrlPr>
            </m:sSubPr>
            <m:e>
              <m:r>
                <w:rPr>
                  <w:rFonts w:ascii="Cambria Math" w:hAnsi="Cambria Math"/>
                </w:rPr>
                <m:t>Footprint</m:t>
              </m:r>
            </m:e>
            <m:sub>
              <m:r>
                <w:rPr>
                  <w:rFonts w:ascii="Cambria Math" w:hAnsi="Cambria Math"/>
                </w:rPr>
                <m:t>reference template</m:t>
              </m:r>
            </m:sub>
          </m:sSub>
          <m:r>
            <m:rPr>
              <m:sty m:val="p"/>
            </m:rPr>
            <w:rPr>
              <w:rFonts w:ascii="Cambria Math" w:hAnsi="Cambria Math"/>
            </w:rPr>
            <m:t xml:space="preserve">= </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server</m:t>
                  </m:r>
                </m:sub>
                <m:sup/>
                <m:e>
                  <m:sSub>
                    <m:sSubPr>
                      <m:ctrlPr>
                        <w:rPr>
                          <w:rFonts w:ascii="Cambria Math" w:hAnsi="Cambria Math"/>
                          <w:i/>
                        </w:rPr>
                      </m:ctrlPr>
                    </m:sSubPr>
                    <m:e>
                      <m:r>
                        <w:rPr>
                          <w:rFonts w:ascii="Cambria Math" w:hAnsi="Cambria Math"/>
                        </w:rPr>
                        <m:t>(Footprint</m:t>
                      </m:r>
                    </m:e>
                    <m:sub>
                      <m:r>
                        <w:rPr>
                          <w:rFonts w:ascii="Cambria Math" w:hAnsi="Cambria Math"/>
                        </w:rPr>
                        <m:t>manufacturing</m:t>
                      </m:r>
                    </m:sub>
                  </m:sSub>
                  <m:r>
                    <w:rPr>
                      <w:rFonts w:ascii="Cambria Math" w:hAnsi="Cambria Math"/>
                    </w:rPr>
                    <m:t xml:space="preserve">+ </m:t>
                  </m:r>
                  <m:sSub>
                    <m:sSubPr>
                      <m:ctrlPr>
                        <w:rPr>
                          <w:rFonts w:ascii="Cambria Math" w:hAnsi="Cambria Math"/>
                          <w:i/>
                        </w:rPr>
                      </m:ctrlPr>
                    </m:sSubPr>
                    <m:e>
                      <m:r>
                        <w:rPr>
                          <w:rFonts w:ascii="Cambria Math" w:hAnsi="Cambria Math"/>
                        </w:rPr>
                        <m:t>Footprint</m:t>
                      </m:r>
                    </m:e>
                    <m:sub>
                      <m:r>
                        <w:rPr>
                          <w:rFonts w:ascii="Cambria Math" w:hAnsi="Cambria Math"/>
                        </w:rPr>
                        <m:t>Usage</m:t>
                      </m:r>
                    </m:sub>
                  </m:sSub>
                  <m:r>
                    <w:rPr>
                      <w:rFonts w:ascii="Cambria Math" w:hAnsi="Cambria Math"/>
                    </w:rPr>
                    <m:t xml:space="preserve">+ </m:t>
                  </m:r>
                  <m:sSub>
                    <m:sSubPr>
                      <m:ctrlPr>
                        <w:rPr>
                          <w:rFonts w:ascii="Cambria Math" w:hAnsi="Cambria Math"/>
                          <w:i/>
                        </w:rPr>
                      </m:ctrlPr>
                    </m:sSubPr>
                    <m:e>
                      <m:r>
                        <w:rPr>
                          <w:rFonts w:ascii="Cambria Math" w:hAnsi="Cambria Math"/>
                        </w:rPr>
                        <m:t>Footprint</m:t>
                      </m:r>
                    </m:e>
                    <m:sub>
                      <m:r>
                        <w:rPr>
                          <w:rFonts w:ascii="Cambria Math" w:hAnsi="Cambria Math"/>
                        </w:rPr>
                        <m:t>Operations</m:t>
                      </m:r>
                    </m:sub>
                  </m:sSub>
                </m:e>
              </m:nary>
            </m:num>
            <m:den>
              <m:sSub>
                <m:sSubPr>
                  <m:ctrlPr>
                    <w:rPr>
                      <w:rFonts w:ascii="Cambria Math" w:hAnsi="Cambria Math"/>
                      <w:i/>
                    </w:rPr>
                  </m:ctrlPr>
                </m:sSubPr>
                <m:e>
                  <m:r>
                    <w:rPr>
                      <w:rFonts w:ascii="Cambria Math" w:hAnsi="Cambria Math"/>
                    </w:rPr>
                    <m:t>number of instances</m:t>
                  </m:r>
                </m:e>
                <m:sub>
                  <m:r>
                    <w:rPr>
                      <w:rFonts w:ascii="Cambria Math" w:hAnsi="Cambria Math"/>
                    </w:rPr>
                    <m:t>reference template</m:t>
                  </m:r>
                </m:sub>
              </m:sSub>
            </m:den>
          </m:f>
        </m:oMath>
      </m:oMathPara>
    </w:p>
    <w:p w14:paraId="600F5786" w14:textId="1E4149F5" w:rsidR="00DB4D57" w:rsidRDefault="00000000">
      <w:pPr>
        <w:tabs>
          <w:tab w:val="num" w:pos="720"/>
        </w:tabs>
      </w:pPr>
      <w:r>
        <w:t xml:space="preserve">The calculation of the average footprint of the use of a VM is identical for each range. The result is then used as a basis for distributing the </w:t>
      </w:r>
      <w:r w:rsidR="0061074F">
        <w:t>environmental footprint</w:t>
      </w:r>
      <w:r>
        <w:t xml:space="preserve"> between customers.</w:t>
      </w:r>
    </w:p>
    <w:p w14:paraId="479D9A4D" w14:textId="77777777" w:rsidR="00DB4D57" w:rsidRDefault="00000000">
      <w:pPr>
        <w:pStyle w:val="Titre4"/>
      </w:pPr>
      <w:r>
        <w:t>Distribution of the environmental footprint according to use</w:t>
      </w:r>
    </w:p>
    <w:p w14:paraId="04356806" w14:textId="77777777" w:rsidR="00DB4D57" w:rsidRDefault="00000000">
      <w:r>
        <w:t xml:space="preserve">Once collected, data from each server is </w:t>
      </w:r>
      <w:r>
        <w:rPr>
          <w:rFonts w:eastAsiaTheme="majorEastAsia"/>
        </w:rPr>
        <w:t>aggregated</w:t>
      </w:r>
      <w:r>
        <w:t xml:space="preserve"> by range and datacentre to determine the total carbon footprint. Then there is the distribution between users:</w:t>
      </w:r>
    </w:p>
    <w:p w14:paraId="0FE45ED0" w14:textId="77777777" w:rsidR="00DB4D57" w:rsidRDefault="00000000">
      <w:pPr>
        <w:pStyle w:val="Paragraphedeliste"/>
        <w:numPr>
          <w:ilvl w:val="0"/>
          <w:numId w:val="19"/>
        </w:numPr>
      </w:pPr>
      <w:r>
        <w:t>Customers share the physical servers that host their instances. OVHcloud determines each customer’s share of consumption, using a “weight” proportional to the number of instances they own (expressed in multiples of the reference template), and a metered usage (hours billed).</w:t>
      </w:r>
    </w:p>
    <w:p w14:paraId="4716009E" w14:textId="77777777" w:rsidR="00DB4D57" w:rsidRDefault="00000000">
      <w:pPr>
        <w:pStyle w:val="Paragraphedeliste"/>
        <w:numPr>
          <w:ilvl w:val="0"/>
          <w:numId w:val="19"/>
        </w:numPr>
      </w:pPr>
      <w:r>
        <w:t>The management and orchestration servers are shared for all users in a datacentre. Each customer is allocated a share according to the volume of instances used by the customer. For example, a customer representing 10% of all instances will be allocated 10% of the carbon footprint of the management and orchestration servers.</w:t>
      </w:r>
    </w:p>
    <w:p w14:paraId="322289F0" w14:textId="77777777" w:rsidR="00DB4D57" w:rsidRDefault="00000000">
      <w:pPr>
        <w:pStyle w:val="Titre3"/>
      </w:pPr>
      <w:bookmarkStart w:id="65" w:name="_Toc202948820"/>
      <w:r>
        <w:t>Public Cloud Storage Scope</w:t>
      </w:r>
      <w:bookmarkEnd w:id="65"/>
    </w:p>
    <w:p w14:paraId="72127C2C" w14:textId="77777777" w:rsidR="00DB4D57" w:rsidRDefault="00000000">
      <w:pPr>
        <w:pStyle w:val="Titre4"/>
      </w:pPr>
      <w:r>
        <w:t>Definition and challenges</w:t>
      </w:r>
    </w:p>
    <w:p w14:paraId="4A32A8D5" w14:textId="77777777" w:rsidR="00DB4D57" w:rsidRDefault="00000000">
      <w:pPr>
        <w:spacing w:after="160" w:line="278" w:lineRule="auto"/>
      </w:pPr>
      <w:r>
        <w:t xml:space="preserve">Storage of data (files, databases, backups, archives) is a significant issue in terms of greenhouse gas emissions. </w:t>
      </w:r>
      <w:r>
        <w:rPr>
          <w:rFonts w:eastAsiaTheme="majorEastAsia"/>
        </w:rPr>
        <w:t xml:space="preserve">Storage </w:t>
      </w:r>
      <w:r>
        <w:t>infrastructure are based on servers equipped with a large number of hard disks, sometimes distributed over several geographical zones. Replication mechanisms (</w:t>
      </w:r>
      <w:r>
        <w:sym w:font="Symbol" w:char="F0B4"/>
      </w:r>
      <w:r>
        <w:t xml:space="preserve">2, </w:t>
      </w:r>
      <w:r>
        <w:sym w:font="Symbol" w:char="F0B4"/>
      </w:r>
      <w:r>
        <w:t>3, erasure coding, etc.) guarantee data durability, but mechanically increase the overall footprint.</w:t>
      </w:r>
    </w:p>
    <w:p w14:paraId="1483CF2B" w14:textId="77777777" w:rsidR="00DB4D57" w:rsidRDefault="00000000">
      <w:pPr>
        <w:spacing w:after="160" w:line="278" w:lineRule="auto"/>
      </w:pPr>
      <w:r>
        <w:t>Two large perimeters are distinguished:</w:t>
      </w:r>
    </w:p>
    <w:p w14:paraId="1FAF6BA8" w14:textId="77777777" w:rsidR="00DB4D57" w:rsidRDefault="00000000">
      <w:pPr>
        <w:pStyle w:val="Paragraphedeliste"/>
        <w:numPr>
          <w:ilvl w:val="0"/>
          <w:numId w:val="25"/>
        </w:numPr>
      </w:pPr>
      <w:r>
        <w:rPr>
          <w:rFonts w:eastAsiaTheme="majorEastAsia"/>
        </w:rPr>
        <w:t>Block Storage</w:t>
      </w:r>
      <w:r>
        <w:t>: A solution for storing segmented data in fixed-size blocks, stored on disks connected to instances via storage arrays. Data is striped across independent disks. Each block is treated separately.</w:t>
      </w:r>
    </w:p>
    <w:p w14:paraId="27C1C700" w14:textId="77777777" w:rsidR="00DB4D57" w:rsidRDefault="00000000">
      <w:pPr>
        <w:pStyle w:val="Paragraphedeliste"/>
        <w:numPr>
          <w:ilvl w:val="0"/>
          <w:numId w:val="25"/>
        </w:numPr>
      </w:pPr>
      <w:r>
        <w:rPr>
          <w:rFonts w:eastAsiaTheme="majorEastAsia"/>
        </w:rPr>
        <w:t>Object Storage</w:t>
      </w:r>
      <w:r>
        <w:t>: a technology that offers an online storage service, accessible via protocols such as S3, Swift or equivalent, and allows data to be stored without any space limit. You can push any type of data into an object storage service.</w:t>
      </w:r>
    </w:p>
    <w:p w14:paraId="4FFC22F7" w14:textId="77777777" w:rsidR="00DB4D57" w:rsidRDefault="00000000">
      <w:pPr>
        <w:pStyle w:val="Titre4"/>
      </w:pPr>
      <w:r>
        <w:t>Calculation methods</w:t>
      </w:r>
    </w:p>
    <w:p w14:paraId="16D64103" w14:textId="63F71F6E" w:rsidR="00DB4D57" w:rsidRDefault="00000000">
      <w:r>
        <w:t>The same calculation logic used to calculate the usage footprint of “</w:t>
      </w:r>
      <w:r w:rsidR="002968BC">
        <w:rPr>
          <w:i/>
          <w:iCs/>
        </w:rPr>
        <w:t>Compute</w:t>
      </w:r>
      <w:r>
        <w:t xml:space="preserve">” services is applied to calculate the usage footprint of storage services. </w:t>
      </w:r>
    </w:p>
    <w:p w14:paraId="3488DD6B" w14:textId="77777777" w:rsidR="00DB4D57" w:rsidRDefault="00000000">
      <w:pPr>
        <w:spacing w:after="160" w:line="278" w:lineRule="auto"/>
      </w:pPr>
      <w:r>
        <w:t>It consists of several steps:</w:t>
      </w:r>
    </w:p>
    <w:p w14:paraId="01A316BC" w14:textId="77777777" w:rsidR="00DB4D57" w:rsidRDefault="00000000">
      <w:pPr>
        <w:pStyle w:val="Paragraphedeliste"/>
        <w:numPr>
          <w:ilvl w:val="0"/>
          <w:numId w:val="28"/>
        </w:numPr>
      </w:pPr>
      <w:r>
        <w:rPr>
          <w:rFonts w:eastAsiaTheme="majorEastAsia"/>
        </w:rPr>
        <w:t>Hardware inventory</w:t>
      </w:r>
      <w:r>
        <w:t>: servers assigned to storage are identified (number, models, installed disk capacity, location),</w:t>
      </w:r>
    </w:p>
    <w:p w14:paraId="68ABDB00" w14:textId="77777777" w:rsidR="00DB4D57" w:rsidRDefault="00000000">
      <w:pPr>
        <w:pStyle w:val="Paragraphedeliste"/>
        <w:numPr>
          <w:ilvl w:val="0"/>
          <w:numId w:val="28"/>
        </w:numPr>
      </w:pPr>
      <w:r>
        <w:rPr>
          <w:rFonts w:eastAsiaTheme="majorEastAsia"/>
        </w:rPr>
        <w:t>Calculation of the total</w:t>
      </w:r>
      <w:r>
        <w:t xml:space="preserve"> storage</w:t>
      </w:r>
      <w:r>
        <w:rPr>
          <w:rFonts w:eastAsiaTheme="majorEastAsia"/>
        </w:rPr>
        <w:t xml:space="preserve"> capacity</w:t>
      </w:r>
      <w:r>
        <w:t xml:space="preserve"> of the servers: the number and type of disks are taken into account, integrating the size limitation rules according to the technologies used and the replication/erasure coding mechanisms.</w:t>
      </w:r>
    </w:p>
    <w:p w14:paraId="23FD6B64" w14:textId="77777777" w:rsidR="00DB4D57" w:rsidRDefault="00000000">
      <w:pPr>
        <w:pStyle w:val="Paragraphedeliste"/>
        <w:numPr>
          <w:ilvl w:val="0"/>
          <w:numId w:val="28"/>
        </w:numPr>
      </w:pPr>
      <w:r>
        <w:rPr>
          <w:rFonts w:eastAsiaTheme="majorEastAsia"/>
        </w:rPr>
        <w:lastRenderedPageBreak/>
        <w:t>Unit environmental footprint calculation</w:t>
      </w:r>
      <w:r>
        <w:t xml:space="preserve">: Emissions attributed to storage servers are reported against the total effective storage capacity. This calculation determines the average storage footprint of 1Gb in each range. </w:t>
      </w:r>
    </w:p>
    <w:p w14:paraId="4C0D98D8" w14:textId="77777777" w:rsidR="00DB4D57" w:rsidRDefault="00000000">
      <w:pPr>
        <w:pStyle w:val="Paragraphedeliste"/>
        <w:numPr>
          <w:ilvl w:val="0"/>
          <w:numId w:val="28"/>
        </w:numPr>
      </w:pPr>
      <w:r>
        <w:rPr>
          <w:rFonts w:eastAsiaTheme="majorEastAsia"/>
        </w:rPr>
        <w:t>Distribution of the environmental footprint according to usage</w:t>
      </w:r>
      <w:r>
        <w:t>: customers are then allocated a share of the overall impact, in proportion to the usage measured (amount of data stored and duration of service use).</w:t>
      </w:r>
    </w:p>
    <w:p w14:paraId="40AD752E" w14:textId="0D991443" w:rsidR="00DB4D57" w:rsidRDefault="00000000">
      <w:pPr>
        <w:pStyle w:val="Titre2"/>
      </w:pPr>
      <w:bookmarkStart w:id="66" w:name="_Toc202948821"/>
      <w:r>
        <w:t>Allocation to customers and report</w:t>
      </w:r>
      <w:bookmarkEnd w:id="66"/>
    </w:p>
    <w:p w14:paraId="59752FF7" w14:textId="77777777" w:rsidR="00DB4D57" w:rsidRDefault="00000000">
      <w:pPr>
        <w:pStyle w:val="Titre3"/>
      </w:pPr>
      <w:bookmarkStart w:id="67" w:name="_Toc202948822"/>
      <w:r>
        <w:t xml:space="preserve">Proportional distribution for </w:t>
      </w:r>
      <w:r>
        <w:rPr>
          <w:i/>
          <w:iCs/>
        </w:rPr>
        <w:t xml:space="preserve">Public Cloud </w:t>
      </w:r>
      <w:r w:rsidRPr="00807485">
        <w:t>products</w:t>
      </w:r>
      <w:bookmarkEnd w:id="67"/>
    </w:p>
    <w:p w14:paraId="7FBDF0CA" w14:textId="7106CE5C" w:rsidR="00DB4D57" w:rsidRDefault="00000000">
      <w:r>
        <w:t xml:space="preserve">The distribution of the carbon footprint is based on the </w:t>
      </w:r>
      <w:r>
        <w:rPr>
          <w:rFonts w:eastAsiaTheme="majorEastAsia"/>
        </w:rPr>
        <w:t>proportion</w:t>
      </w:r>
      <w:r>
        <w:t xml:space="preserve"> of use observed. The criteria can be combined (e.g. number of </w:t>
      </w:r>
      <w:r>
        <w:sym w:font="Symbol" w:char="F0B4"/>
      </w:r>
      <w:r w:rsidR="00807485">
        <w:t xml:space="preserve"> </w:t>
      </w:r>
      <w:r>
        <w:t xml:space="preserve">duration instances, volume hosted </w:t>
      </w:r>
      <w:r>
        <w:sym w:font="Symbol" w:char="F0B4"/>
      </w:r>
      <w:r w:rsidR="00807485">
        <w:t xml:space="preserve"> </w:t>
      </w:r>
      <w:r>
        <w:t>duration) to reflect reality as closely as possible.</w:t>
      </w:r>
    </w:p>
    <w:p w14:paraId="34CB8253" w14:textId="77777777" w:rsidR="00DB4D57" w:rsidRDefault="00000000">
      <w:r>
        <w:t xml:space="preserve">In determining each customer’s share, three factors are taken into account: </w:t>
      </w:r>
    </w:p>
    <w:p w14:paraId="7E537740" w14:textId="2D27998E" w:rsidR="00DB4D57" w:rsidRDefault="00000000">
      <w:pPr>
        <w:pStyle w:val="Paragraphedeliste"/>
        <w:numPr>
          <w:ilvl w:val="0"/>
          <w:numId w:val="22"/>
        </w:numPr>
      </w:pPr>
      <w:r>
        <w:t xml:space="preserve">The number of instances of the reference template consumed (or the sum of the coefficients if the instance is different from the reference template). The carbon footprint of a virtual machine is then multiplied by the reference template for the range. </w:t>
      </w:r>
    </w:p>
    <w:p w14:paraId="6312CEEE" w14:textId="77777777" w:rsidR="00DB4D57" w:rsidRDefault="00000000">
      <w:pPr>
        <w:pStyle w:val="Paragraphedeliste"/>
        <w:numPr>
          <w:ilvl w:val="0"/>
          <w:numId w:val="22"/>
        </w:numPr>
      </w:pPr>
      <w:r>
        <w:t xml:space="preserve">The instance reservation time. We integrate the actual time for reserving instances (in hours). The more instances a customer keeps reserved, the greater their footprint share. </w:t>
      </w:r>
    </w:p>
    <w:p w14:paraId="639963E4" w14:textId="551FEBEA" w:rsidR="00DB4D57" w:rsidRDefault="00000000">
      <w:pPr>
        <w:pStyle w:val="Paragraphedeliste"/>
        <w:numPr>
          <w:ilvl w:val="0"/>
          <w:numId w:val="22"/>
        </w:numPr>
      </w:pPr>
      <w:r>
        <w:t xml:space="preserve">The share of management and orchestration servers. We use a ratio based on the number of hours that services are reserved in the entire datacentre. </w:t>
      </w:r>
      <w:r w:rsidR="00807485">
        <w:t>I</w:t>
      </w:r>
      <w:r>
        <w:t xml:space="preserve">t was decided to use a calculation model combining the number of instances with their size. </w:t>
      </w:r>
      <w:r w:rsidR="00807485">
        <w:t>The weighting of reference template</w:t>
      </w:r>
      <w:r>
        <w:t xml:space="preserve"> is preferred to avoid a customer with very large but few machines being underbilled compared to a customer who multiplies small instances.</w:t>
      </w:r>
    </w:p>
    <w:p w14:paraId="7ED55418" w14:textId="77777777" w:rsidR="00330FDF" w:rsidRDefault="00330FDF" w:rsidP="00330FDF">
      <w:pPr>
        <w:pStyle w:val="Paragraphedeliste"/>
        <w:ind w:left="0"/>
      </w:pPr>
    </w:p>
    <w:p w14:paraId="0E99FD18" w14:textId="77777777" w:rsidR="00DB4D57" w:rsidRDefault="00000000">
      <w:pPr>
        <w:pStyle w:val="Paragraphedeliste"/>
        <w:ind w:left="0"/>
      </w:pPr>
      <w:r>
        <w:t xml:space="preserve">The total environmental footprint of each customer is calculated. This result is returned monthly to customers to facilitate monitoring. </w:t>
      </w:r>
    </w:p>
    <w:p w14:paraId="448F3E56" w14:textId="77777777" w:rsidR="00DB4D57" w:rsidRDefault="00000000">
      <w:pPr>
        <w:pStyle w:val="Titre3"/>
      </w:pPr>
      <w:bookmarkStart w:id="68" w:name="_Toc202948823"/>
      <w:r>
        <w:t>Edit report</w:t>
      </w:r>
      <w:bookmarkEnd w:id="68"/>
    </w:p>
    <w:p w14:paraId="4657410F" w14:textId="628A24EB" w:rsidR="00DB4D57" w:rsidRDefault="001724E9">
      <w:r>
        <w:rPr>
          <w:shd w:val="clear" w:color="auto" w:fill="FFFFFF"/>
        </w:rPr>
        <w:t xml:space="preserve">Each emission, regardless of its nature (Manufacturing, </w:t>
      </w:r>
      <w:r w:rsidR="007C70C3">
        <w:rPr>
          <w:shd w:val="clear" w:color="auto" w:fill="FFFFFF"/>
        </w:rPr>
        <w:t xml:space="preserve">Usage </w:t>
      </w:r>
      <w:r>
        <w:rPr>
          <w:shd w:val="clear" w:color="auto" w:fill="FFFFFF"/>
        </w:rPr>
        <w:t>and Operations), is reported in the customer’s greenhouse gas emissions estimation document, as presented in the</w:t>
      </w:r>
      <w:r w:rsidR="00AB593C">
        <w:rPr>
          <w:shd w:val="clear" w:color="auto" w:fill="FFFFFF"/>
        </w:rPr>
        <w:t xml:space="preserve"> </w:t>
      </w:r>
      <w:r w:rsidR="00AB593C">
        <w:fldChar w:fldCharType="begin"/>
      </w:r>
      <w:r w:rsidR="00AB593C">
        <w:rPr>
          <w:shd w:val="clear" w:color="auto" w:fill="FFFFFF"/>
        </w:rPr>
        <w:instrText xml:space="preserve"> REF _Ref202948674 \h </w:instrText>
      </w:r>
      <w:r w:rsidR="00AB593C">
        <w:fldChar w:fldCharType="separate"/>
      </w:r>
      <w:r w:rsidR="00AB593C">
        <w:t xml:space="preserve">Figure </w:t>
      </w:r>
      <w:r w:rsidR="00AB593C">
        <w:rPr>
          <w:noProof/>
        </w:rPr>
        <w:t>8</w:t>
      </w:r>
      <w:r w:rsidR="00AB593C">
        <w:fldChar w:fldCharType="end"/>
      </w:r>
      <w:r>
        <w:t xml:space="preserve">. </w:t>
      </w:r>
      <w:r w:rsidR="007C70C3">
        <w:t>This document, generate through the Environmental Impact Tracker, restitutes t</w:t>
      </w:r>
      <w:r>
        <w:t>he results in monthly and annual time periods to facilitate monitoring in .pdf format.</w:t>
      </w:r>
    </w:p>
    <w:p w14:paraId="5172E804" w14:textId="4ED5D7BA" w:rsidR="00EB4265" w:rsidRDefault="00EB4265" w:rsidP="00330FDF">
      <w:pPr>
        <w:pStyle w:val="Textbody"/>
        <w:rPr>
          <w:lang w:eastAsia="fr-FR" w:bidi="ar-SA"/>
        </w:rPr>
      </w:pPr>
    </w:p>
    <w:p w14:paraId="1CBB72C1" w14:textId="18A19246" w:rsidR="00AB593C" w:rsidRDefault="00AB593C">
      <w:pPr>
        <w:spacing w:after="160" w:line="278" w:lineRule="auto"/>
        <w:sectPr w:rsidR="00AB593C" w:rsidSect="007C70C3">
          <w:pgSz w:w="11906" w:h="16838"/>
          <w:pgMar w:top="636" w:right="720" w:bottom="720" w:left="720" w:header="720" w:footer="342" w:gutter="0"/>
          <w:cols w:space="720"/>
          <w:titlePg/>
          <w:docGrid w:linePitch="326"/>
        </w:sectPr>
      </w:pPr>
      <w:r>
        <w:rPr>
          <w:noProof/>
        </w:rPr>
        <w:lastRenderedPageBreak/>
        <mc:AlternateContent>
          <mc:Choice Requires="wps">
            <w:drawing>
              <wp:anchor distT="0" distB="0" distL="114300" distR="114300" simplePos="0" relativeHeight="251727872" behindDoc="0" locked="0" layoutInCell="1" allowOverlap="1" wp14:anchorId="09753E95" wp14:editId="0368AC35">
                <wp:simplePos x="0" y="0"/>
                <wp:positionH relativeFrom="column">
                  <wp:posOffset>0</wp:posOffset>
                </wp:positionH>
                <wp:positionV relativeFrom="paragraph">
                  <wp:posOffset>4020185</wp:posOffset>
                </wp:positionV>
                <wp:extent cx="6645910" cy="635"/>
                <wp:effectExtent l="0" t="0" r="0" b="12065"/>
                <wp:wrapTopAndBottom/>
                <wp:docPr id="849273957" name="Zone de texte 1"/>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091C2AC6" w14:textId="3F14805A" w:rsidR="00AB593C" w:rsidRPr="00F73458" w:rsidRDefault="00AB593C" w:rsidP="00AB593C">
                            <w:pPr>
                              <w:pStyle w:val="Lgende"/>
                              <w:rPr>
                                <w:rFonts w:cstheme="majorHAnsi"/>
                              </w:rPr>
                            </w:pPr>
                            <w:bookmarkStart w:id="69" w:name="_Ref202948674"/>
                            <w:bookmarkStart w:id="70" w:name="_Toc202948843"/>
                            <w:r>
                              <w:t xml:space="preserve">Figure </w:t>
                            </w:r>
                            <w:fldSimple w:instr=" SEQ Figure \* ARABIC ">
                              <w:r>
                                <w:rPr>
                                  <w:noProof/>
                                </w:rPr>
                                <w:t>8</w:t>
                              </w:r>
                            </w:fldSimple>
                            <w:bookmarkEnd w:id="69"/>
                            <w:r>
                              <w:t xml:space="preserve"> - </w:t>
                            </w:r>
                            <w:r w:rsidRPr="00E00181">
                              <w:t>Report template</w:t>
                            </w:r>
                            <w:r>
                              <w:t xml:space="preserve"> (source: OVHcloud)</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53E95" id="_x0000_s1035" type="#_x0000_t202" style="position:absolute;left:0;text-align:left;margin-left:0;margin-top:316.55pt;width:523.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" stroked="f">
                <v:textbox style="mso-fit-shape-to-text:t" inset="0,0,0,0">
                  <w:txbxContent>
                    <w:p w14:paraId="091C2AC6" w14:textId="3F14805A" w:rsidR="00AB593C" w:rsidRPr="00F73458" w:rsidRDefault="00AB593C" w:rsidP="00AB593C">
                      <w:pPr>
                        <w:pStyle w:val="Lgende"/>
                        <w:rPr>
                          <w:rFonts w:cstheme="majorHAnsi"/>
                        </w:rPr>
                      </w:pPr>
                      <w:bookmarkStart w:id="142" w:name="_Ref202948674"/>
                      <w:bookmarkStart w:id="143" w:name="_Toc202948843"/>
                      <w:r>
                        <w:t xml:space="preserve">Figure </w:t>
                      </w:r>
                      <w:fldSimple w:instr=" SEQ Figure \* ARABIC ">
                        <w:r>
                          <w:rPr>
                            <w:noProof/>
                          </w:rPr>
                          <w:t>8</w:t>
                        </w:r>
                      </w:fldSimple>
                      <w:bookmarkEnd w:id="142"/>
                      <w:r>
                        <w:t xml:space="preserve"> - </w:t>
                      </w:r>
                      <w:r w:rsidRPr="00E00181">
                        <w:t>Report template</w:t>
                      </w:r>
                      <w:r>
                        <w:t xml:space="preserve"> (source: OVHcloud)</w:t>
                      </w:r>
                      <w:bookmarkEnd w:id="143"/>
                    </w:p>
                  </w:txbxContent>
                </v:textbox>
                <w10:wrap type="topAndBottom"/>
              </v:shape>
            </w:pict>
          </mc:Fallback>
        </mc:AlternateContent>
      </w:r>
      <w:r w:rsidRPr="00AB593C">
        <w:rPr>
          <w:noProof/>
        </w:rPr>
        <w:drawing>
          <wp:anchor distT="0" distB="0" distL="114300" distR="114300" simplePos="0" relativeHeight="251725824" behindDoc="0" locked="0" layoutInCell="1" allowOverlap="1" wp14:anchorId="411D810B" wp14:editId="5AB9C1B0">
            <wp:simplePos x="0" y="0"/>
            <wp:positionH relativeFrom="margin">
              <wp:align>center</wp:align>
            </wp:positionH>
            <wp:positionV relativeFrom="margin">
              <wp:align>top</wp:align>
            </wp:positionV>
            <wp:extent cx="6645910" cy="3963035"/>
            <wp:effectExtent l="0" t="0" r="0" b="0"/>
            <wp:wrapTopAndBottom/>
            <wp:docPr id="347681995"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81995" name="Image 1" descr="Une image contenant texte, capture d’écran, diagramme, Parallèl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6645910" cy="3963035"/>
                    </a:xfrm>
                    <a:prstGeom prst="rect">
                      <a:avLst/>
                    </a:prstGeom>
                  </pic:spPr>
                </pic:pic>
              </a:graphicData>
            </a:graphic>
            <wp14:sizeRelH relativeFrom="page">
              <wp14:pctWidth>0</wp14:pctWidth>
            </wp14:sizeRelH>
            <wp14:sizeRelV relativeFrom="page">
              <wp14:pctHeight>0</wp14:pctHeight>
            </wp14:sizeRelV>
          </wp:anchor>
        </w:drawing>
      </w:r>
    </w:p>
    <w:p w14:paraId="5BB8CEE1" w14:textId="791AED18" w:rsidR="00DB4D57" w:rsidRDefault="00000000">
      <w:pPr>
        <w:spacing w:after="160" w:line="278" w:lineRule="auto"/>
      </w:pPr>
      <w:r>
        <w:lastRenderedPageBreak/>
        <w:t>This policy brief provides a general framework for assessing and distributing the carbon footprint within two major perimeters: dedicated servers (</w:t>
      </w:r>
      <w:r w:rsidRPr="001724E9">
        <w:rPr>
          <w:i/>
          <w:iCs/>
        </w:rPr>
        <w:t>Bar</w:t>
      </w:r>
      <w:r w:rsidR="001724E9" w:rsidRPr="001724E9">
        <w:rPr>
          <w:i/>
          <w:iCs/>
        </w:rPr>
        <w:t>e</w:t>
      </w:r>
      <w:r w:rsidR="001724E9">
        <w:rPr>
          <w:i/>
          <w:iCs/>
        </w:rPr>
        <w:t>m</w:t>
      </w:r>
      <w:r w:rsidRPr="001724E9">
        <w:rPr>
          <w:i/>
          <w:iCs/>
        </w:rPr>
        <w:t>etal</w:t>
      </w:r>
      <w:r>
        <w:t xml:space="preserve"> and </w:t>
      </w:r>
      <w:r>
        <w:rPr>
          <w:i/>
          <w:iCs/>
        </w:rPr>
        <w:t>Hosted Private Cloud</w:t>
      </w:r>
      <w:r>
        <w:t xml:space="preserve">) and </w:t>
      </w:r>
      <w:r w:rsidR="001724E9">
        <w:t>mutualized</w:t>
      </w:r>
      <w:r>
        <w:t xml:space="preserve"> servers (</w:t>
      </w:r>
      <w:r>
        <w:rPr>
          <w:i/>
          <w:iCs/>
        </w:rPr>
        <w:t>Public Cloud</w:t>
      </w:r>
      <w:r>
        <w:t xml:space="preserve"> “</w:t>
      </w:r>
      <w:r>
        <w:rPr>
          <w:i/>
          <w:iCs/>
        </w:rPr>
        <w:t>Compute</w:t>
      </w:r>
      <w:r>
        <w:t xml:space="preserve">” and </w:t>
      </w:r>
      <w:r>
        <w:rPr>
          <w:i/>
          <w:iCs/>
        </w:rPr>
        <w:t>Public Cloud “Storage”</w:t>
      </w:r>
      <w:r>
        <w:t>).</w:t>
      </w:r>
    </w:p>
    <w:p w14:paraId="5BE56CF9" w14:textId="77777777" w:rsidR="00DB4D57" w:rsidRDefault="00000000">
      <w:pPr>
        <w:spacing w:after="160" w:line="278" w:lineRule="auto"/>
      </w:pPr>
      <w:r>
        <w:t>By systematically taking inventory of equipment, consolidating reliable data and implementing fair distribution rules, this system gives organizations and our customers a clear view of their responsibilities in terms of environmental impacts. It also allows you to identify priority optimization levers (reduction of stored volumes, right-sizing of computing instances, redesign of web hosting, etc.).</w:t>
      </w:r>
    </w:p>
    <w:p w14:paraId="0B926121" w14:textId="687A5133" w:rsidR="00DB4D57" w:rsidRDefault="00000000">
      <w:pPr>
        <w:spacing w:after="160" w:line="278" w:lineRule="auto"/>
      </w:pPr>
      <w:r>
        <w:t xml:space="preserve">Once this computing system is in place, it becomes possible to drive a more ambitious </w:t>
      </w:r>
      <w:r w:rsidR="001724E9">
        <w:rPr>
          <w:rFonts w:eastAsiaTheme="majorEastAsia"/>
        </w:rPr>
        <w:t>Green IT</w:t>
      </w:r>
      <w:r>
        <w:t xml:space="preserve"> strategy. The improvements achieved on each of the perimeters can be cumulative and create a virtuous circle, to the benefit of both economic performance and the reduction of environmental impacts. Finally, engagement and awareness raising from all stakeholders, from the provider to the end users, remains essential to move towards a more sober and environmentally friendly cloud model.</w:t>
      </w:r>
    </w:p>
    <w:p w14:paraId="17D95289" w14:textId="1A520D17" w:rsidR="009E6D09" w:rsidRPr="006F20F8" w:rsidRDefault="009E6D09" w:rsidP="009E6D09">
      <w:pPr>
        <w:pStyle w:val="Paragraphedeliste"/>
        <w:ind w:left="0"/>
      </w:pPr>
    </w:p>
    <w:p w14:paraId="733DDE00" w14:textId="77777777" w:rsidR="006F20F8" w:rsidRPr="006F20F8" w:rsidRDefault="006F20F8" w:rsidP="006F20F8"/>
    <w:p w14:paraId="2449F1D3" w14:textId="77777777" w:rsidR="006F20F8" w:rsidRPr="006F20F8" w:rsidRDefault="006F20F8" w:rsidP="006F20F8"/>
    <w:p w14:paraId="15CFDE3F" w14:textId="77777777" w:rsidR="004C71C4" w:rsidRPr="004C71C4" w:rsidRDefault="004C71C4" w:rsidP="004C71C4"/>
    <w:p w14:paraId="55201785" w14:textId="77777777" w:rsidR="004C71C4" w:rsidRPr="004C71C4" w:rsidRDefault="004C71C4" w:rsidP="004C71C4"/>
    <w:p w14:paraId="034225D7" w14:textId="77777777" w:rsidR="004C71C4" w:rsidRPr="004C71C4" w:rsidRDefault="004C71C4" w:rsidP="004C71C4"/>
    <w:p w14:paraId="68430D35" w14:textId="77777777" w:rsidR="004C71C4" w:rsidRPr="004C71C4" w:rsidRDefault="004C71C4" w:rsidP="004C71C4"/>
    <w:p w14:paraId="3E851AF3" w14:textId="77777777" w:rsidR="004C71C4" w:rsidRPr="00E9118A" w:rsidRDefault="004C71C4" w:rsidP="004C71C4"/>
    <w:p w14:paraId="6CC78D52" w14:textId="77777777" w:rsidR="004C71C4" w:rsidRPr="004C71C4" w:rsidRDefault="004C71C4" w:rsidP="004C71C4"/>
    <w:p w14:paraId="4C568DA3" w14:textId="77777777" w:rsidR="004C71C4" w:rsidRPr="004C71C4" w:rsidRDefault="004C71C4" w:rsidP="004C71C4"/>
    <w:p w14:paraId="40459641" w14:textId="77777777" w:rsidR="00472163" w:rsidRPr="00472163" w:rsidRDefault="00472163" w:rsidP="00472163"/>
    <w:p w14:paraId="750DAE9E" w14:textId="77777777" w:rsidR="00FB1069" w:rsidRPr="00FB1069" w:rsidRDefault="00FB1069" w:rsidP="00FB1069"/>
    <w:p w14:paraId="10DD12FD" w14:textId="77777777" w:rsidR="00404E28" w:rsidRPr="00404E28" w:rsidRDefault="00404E28" w:rsidP="00404E28"/>
    <w:p w14:paraId="53E02C9A" w14:textId="77777777" w:rsidR="00404E28" w:rsidRPr="00404E28" w:rsidRDefault="00404E28" w:rsidP="00404E28">
      <w:pPr>
        <w:pStyle w:val="Textbody"/>
        <w:rPr>
          <w:lang w:eastAsia="fr-FR" w:bidi="ar-SA"/>
        </w:rPr>
      </w:pPr>
    </w:p>
    <w:p w14:paraId="35FAEB39" w14:textId="77777777" w:rsidR="00ED7E8C" w:rsidRDefault="00ED7E8C" w:rsidP="00ED7E8C">
      <w:pPr>
        <w:ind w:firstLine="708"/>
      </w:pPr>
    </w:p>
    <w:p w14:paraId="07199DED" w14:textId="3F7C1655" w:rsidR="00ED7E8C" w:rsidRPr="00ED7E8C" w:rsidRDefault="00ED7E8C" w:rsidP="00ED7E8C">
      <w:pPr>
        <w:tabs>
          <w:tab w:val="left" w:pos="841"/>
        </w:tabs>
        <w:sectPr w:rsidR="00ED7E8C" w:rsidRPr="00ED7E8C" w:rsidSect="007C70C3">
          <w:pgSz w:w="11906" w:h="16838"/>
          <w:pgMar w:top="636" w:right="720" w:bottom="720" w:left="720" w:header="720" w:footer="342" w:gutter="0"/>
          <w:cols w:space="720"/>
          <w:titlePg/>
          <w:docGrid w:linePitch="326"/>
        </w:sectPr>
      </w:pPr>
    </w:p>
    <w:p w14:paraId="09A4EC35" w14:textId="77777777" w:rsidR="00DB4D57" w:rsidRDefault="00000000">
      <w:pPr>
        <w:pStyle w:val="Titre"/>
      </w:pPr>
      <w:bookmarkStart w:id="71" w:name="_Toc202948824"/>
      <w:r>
        <w:lastRenderedPageBreak/>
        <w:t>Glossary</w:t>
      </w:r>
      <w:bookmarkEnd w:id="27"/>
      <w:bookmarkEnd w:id="71"/>
    </w:p>
    <w:tbl>
      <w:tblPr>
        <w:tblStyle w:val="Grilledutableau"/>
        <w:tblW w:w="0" w:type="auto"/>
        <w:tblLook w:val="04A0" w:firstRow="1" w:lastRow="0" w:firstColumn="1" w:lastColumn="0" w:noHBand="0" w:noVBand="1"/>
      </w:tblPr>
      <w:tblGrid>
        <w:gridCol w:w="1838"/>
        <w:gridCol w:w="7790"/>
      </w:tblGrid>
      <w:tr w:rsidR="00A224B8" w14:paraId="2E5ED1F3" w14:textId="77777777" w:rsidTr="00332D36">
        <w:tc>
          <w:tcPr>
            <w:tcW w:w="1838" w:type="dxa"/>
          </w:tcPr>
          <w:p w14:paraId="17067018" w14:textId="77777777" w:rsidR="00DB4D57" w:rsidRDefault="00000000">
            <w:pPr>
              <w:pStyle w:val="Textbody"/>
            </w:pPr>
            <w:r>
              <w:t>CPU</w:t>
            </w:r>
          </w:p>
        </w:tc>
        <w:tc>
          <w:tcPr>
            <w:tcW w:w="7790" w:type="dxa"/>
          </w:tcPr>
          <w:p w14:paraId="6D06FD17" w14:textId="77777777" w:rsidR="00DB4D57" w:rsidRDefault="00000000">
            <w:pPr>
              <w:pStyle w:val="Textbody"/>
            </w:pPr>
            <w:r>
              <w:t>Central Processing Unit</w:t>
            </w:r>
          </w:p>
        </w:tc>
      </w:tr>
      <w:tr w:rsidR="0072008B" w14:paraId="3415AB45" w14:textId="77777777" w:rsidTr="00332D36">
        <w:tc>
          <w:tcPr>
            <w:tcW w:w="1838" w:type="dxa"/>
          </w:tcPr>
          <w:p w14:paraId="40285A49" w14:textId="77777777" w:rsidR="00DB4D57" w:rsidRDefault="00000000">
            <w:pPr>
              <w:pStyle w:val="Textbody"/>
            </w:pPr>
            <w:r>
              <w:t>CUE</w:t>
            </w:r>
          </w:p>
        </w:tc>
        <w:tc>
          <w:tcPr>
            <w:tcW w:w="7790" w:type="dxa"/>
          </w:tcPr>
          <w:p w14:paraId="671C70D1" w14:textId="77777777" w:rsidR="00DB4D57" w:rsidRDefault="00000000">
            <w:pPr>
              <w:pStyle w:val="Textbody"/>
            </w:pPr>
            <w:r>
              <w:rPr>
                <w:shd w:val="clear" w:color="auto" w:fill="FFFFFF"/>
              </w:rPr>
              <w:t>Carbon Usage Effectiveness</w:t>
            </w:r>
          </w:p>
        </w:tc>
      </w:tr>
      <w:tr w:rsidR="00A224B8" w14:paraId="5EBA1049" w14:textId="77777777" w:rsidTr="00332D36">
        <w:tc>
          <w:tcPr>
            <w:tcW w:w="1838" w:type="dxa"/>
          </w:tcPr>
          <w:p w14:paraId="4920FB02" w14:textId="77777777" w:rsidR="00DB4D57" w:rsidRDefault="00000000">
            <w:pPr>
              <w:pStyle w:val="Textbody"/>
            </w:pPr>
            <w:r>
              <w:t>GHG</w:t>
            </w:r>
          </w:p>
        </w:tc>
        <w:tc>
          <w:tcPr>
            <w:tcW w:w="7790" w:type="dxa"/>
          </w:tcPr>
          <w:p w14:paraId="114A69F3" w14:textId="77777777" w:rsidR="00DB4D57" w:rsidRDefault="00000000">
            <w:pPr>
              <w:pStyle w:val="Textbody"/>
            </w:pPr>
            <w:r>
              <w:t>Greenhouse gases</w:t>
            </w:r>
          </w:p>
        </w:tc>
      </w:tr>
      <w:tr w:rsidR="00A224B8" w14:paraId="3B52E18A" w14:textId="77777777" w:rsidTr="00332D36">
        <w:tc>
          <w:tcPr>
            <w:tcW w:w="1838" w:type="dxa"/>
          </w:tcPr>
          <w:p w14:paraId="6ECF4A2B" w14:textId="77777777" w:rsidR="00DB4D57" w:rsidRDefault="00000000">
            <w:pPr>
              <w:pStyle w:val="Textbody"/>
            </w:pPr>
            <w:r>
              <w:t>GPU</w:t>
            </w:r>
          </w:p>
        </w:tc>
        <w:tc>
          <w:tcPr>
            <w:tcW w:w="7790" w:type="dxa"/>
          </w:tcPr>
          <w:p w14:paraId="215D4AFC" w14:textId="77777777" w:rsidR="00DB4D57" w:rsidRDefault="00000000">
            <w:pPr>
              <w:pStyle w:val="Textbody"/>
            </w:pPr>
            <w:r>
              <w:t>Graphic Processing Unit</w:t>
            </w:r>
          </w:p>
        </w:tc>
      </w:tr>
      <w:tr w:rsidR="00A224B8" w14:paraId="697B20E1" w14:textId="77777777" w:rsidTr="00332D36">
        <w:tc>
          <w:tcPr>
            <w:tcW w:w="1838" w:type="dxa"/>
          </w:tcPr>
          <w:p w14:paraId="131266AA" w14:textId="77777777" w:rsidR="00DB4D57" w:rsidRDefault="00000000">
            <w:pPr>
              <w:pStyle w:val="Textbody"/>
            </w:pPr>
            <w:r>
              <w:t>GHG</w:t>
            </w:r>
          </w:p>
        </w:tc>
        <w:tc>
          <w:tcPr>
            <w:tcW w:w="7790" w:type="dxa"/>
          </w:tcPr>
          <w:p w14:paraId="43F93550" w14:textId="77777777" w:rsidR="00DB4D57" w:rsidRDefault="00000000">
            <w:pPr>
              <w:pStyle w:val="Textbody"/>
            </w:pPr>
            <w:r>
              <w:t>Green House Gazes</w:t>
            </w:r>
          </w:p>
        </w:tc>
      </w:tr>
      <w:tr w:rsidR="00A224B8" w14:paraId="7AFFC563" w14:textId="77777777" w:rsidTr="00332D36">
        <w:tc>
          <w:tcPr>
            <w:tcW w:w="1838" w:type="dxa"/>
          </w:tcPr>
          <w:p w14:paraId="4A7F28AF" w14:textId="77777777" w:rsidR="00DB4D57" w:rsidRDefault="00000000">
            <w:pPr>
              <w:pStyle w:val="Textbody"/>
            </w:pPr>
            <w:r>
              <w:t>HDD</w:t>
            </w:r>
          </w:p>
        </w:tc>
        <w:tc>
          <w:tcPr>
            <w:tcW w:w="7790" w:type="dxa"/>
          </w:tcPr>
          <w:p w14:paraId="0B48ADA0" w14:textId="77777777" w:rsidR="00DB4D57" w:rsidRDefault="00000000">
            <w:pPr>
              <w:pStyle w:val="Textbody"/>
            </w:pPr>
            <w:r>
              <w:t>Hard Disk Drive</w:t>
            </w:r>
          </w:p>
        </w:tc>
      </w:tr>
      <w:tr w:rsidR="00AE26BD" w14:paraId="0718DDCA" w14:textId="77777777" w:rsidTr="00332D36">
        <w:tc>
          <w:tcPr>
            <w:tcW w:w="1838" w:type="dxa"/>
          </w:tcPr>
          <w:p w14:paraId="7E3983C0" w14:textId="77777777" w:rsidR="00DB4D57" w:rsidRDefault="00000000">
            <w:pPr>
              <w:pStyle w:val="Textbody"/>
            </w:pPr>
            <w:r>
              <w:t>kgCO</w:t>
            </w:r>
            <w:r>
              <w:rPr>
                <w:vertAlign w:val="subscript"/>
              </w:rPr>
              <w:t>2</w:t>
            </w:r>
            <w:r>
              <w:t>eq</w:t>
            </w:r>
          </w:p>
        </w:tc>
        <w:tc>
          <w:tcPr>
            <w:tcW w:w="7790" w:type="dxa"/>
          </w:tcPr>
          <w:p w14:paraId="7F805887" w14:textId="77777777" w:rsidR="00DB4D57" w:rsidRDefault="00000000">
            <w:pPr>
              <w:pStyle w:val="Textbody"/>
            </w:pPr>
            <w:r>
              <w:t>Kilogram of carbon dioxide equivalent</w:t>
            </w:r>
          </w:p>
        </w:tc>
      </w:tr>
      <w:tr w:rsidR="0098429E" w14:paraId="7F094CBC" w14:textId="77777777" w:rsidTr="00332D36">
        <w:tc>
          <w:tcPr>
            <w:tcW w:w="1838" w:type="dxa"/>
          </w:tcPr>
          <w:p w14:paraId="79D135F1" w14:textId="77777777" w:rsidR="00DB4D57" w:rsidRDefault="00000000">
            <w:pPr>
              <w:pStyle w:val="Textbody"/>
            </w:pPr>
            <w:r>
              <w:t>PCB</w:t>
            </w:r>
          </w:p>
        </w:tc>
        <w:tc>
          <w:tcPr>
            <w:tcW w:w="7790" w:type="dxa"/>
          </w:tcPr>
          <w:p w14:paraId="6A0F44FA" w14:textId="77777777" w:rsidR="00DB4D57" w:rsidRDefault="00000000">
            <w:pPr>
              <w:pStyle w:val="Textbody"/>
            </w:pPr>
            <w:r>
              <w:t>Printed Circuit Board</w:t>
            </w:r>
          </w:p>
        </w:tc>
      </w:tr>
      <w:tr w:rsidR="0098429E" w14:paraId="023E73CE" w14:textId="77777777" w:rsidTr="00332D36">
        <w:tc>
          <w:tcPr>
            <w:tcW w:w="1838" w:type="dxa"/>
          </w:tcPr>
          <w:p w14:paraId="66D61059" w14:textId="77777777" w:rsidR="00DB4D57" w:rsidRDefault="00000000">
            <w:pPr>
              <w:pStyle w:val="Textbody"/>
            </w:pPr>
            <w:r>
              <w:t>PCIe</w:t>
            </w:r>
          </w:p>
        </w:tc>
        <w:tc>
          <w:tcPr>
            <w:tcW w:w="7790" w:type="dxa"/>
          </w:tcPr>
          <w:p w14:paraId="3D3E04E4" w14:textId="77777777" w:rsidR="00DB4D57" w:rsidRDefault="00000000">
            <w:pPr>
              <w:pStyle w:val="Textbody"/>
            </w:pPr>
            <w:r>
              <w:t>Peripheral Component Interconnect Express</w:t>
            </w:r>
          </w:p>
        </w:tc>
      </w:tr>
      <w:tr w:rsidR="0072008B" w14:paraId="763C3242" w14:textId="77777777" w:rsidTr="00332D36">
        <w:tc>
          <w:tcPr>
            <w:tcW w:w="1838" w:type="dxa"/>
          </w:tcPr>
          <w:p w14:paraId="0F4E8183" w14:textId="77777777" w:rsidR="00DB4D57" w:rsidRDefault="00000000">
            <w:pPr>
              <w:pStyle w:val="Textbody"/>
            </w:pPr>
            <w:r>
              <w:t>PUE</w:t>
            </w:r>
          </w:p>
        </w:tc>
        <w:tc>
          <w:tcPr>
            <w:tcW w:w="7790" w:type="dxa"/>
          </w:tcPr>
          <w:p w14:paraId="51CB3A88" w14:textId="77777777" w:rsidR="00DB4D57" w:rsidRDefault="00000000">
            <w:pPr>
              <w:pStyle w:val="Textbody"/>
            </w:pPr>
            <w:r>
              <w:rPr>
                <w:shd w:val="clear" w:color="auto" w:fill="FFFFFF"/>
              </w:rPr>
              <w:t>Power Usage Effectiveness</w:t>
            </w:r>
          </w:p>
        </w:tc>
      </w:tr>
      <w:tr w:rsidR="00A224B8" w14:paraId="751EE28B" w14:textId="77777777" w:rsidTr="00332D36">
        <w:tc>
          <w:tcPr>
            <w:tcW w:w="1838" w:type="dxa"/>
          </w:tcPr>
          <w:p w14:paraId="7C91593B" w14:textId="77777777" w:rsidR="00DB4D57" w:rsidRDefault="00000000">
            <w:pPr>
              <w:pStyle w:val="Textbody"/>
            </w:pPr>
            <w:r>
              <w:t>RAM</w:t>
            </w:r>
          </w:p>
        </w:tc>
        <w:tc>
          <w:tcPr>
            <w:tcW w:w="7790" w:type="dxa"/>
          </w:tcPr>
          <w:p w14:paraId="6F1926DD" w14:textId="77777777" w:rsidR="00DB4D57" w:rsidRDefault="00000000">
            <w:pPr>
              <w:pStyle w:val="Textbody"/>
            </w:pPr>
            <w:r>
              <w:t>Random-Access Memory</w:t>
            </w:r>
          </w:p>
        </w:tc>
      </w:tr>
      <w:tr w:rsidR="00A224B8" w14:paraId="074B722B" w14:textId="77777777" w:rsidTr="00332D36">
        <w:tc>
          <w:tcPr>
            <w:tcW w:w="1838" w:type="dxa"/>
          </w:tcPr>
          <w:p w14:paraId="32F4E4D9" w14:textId="77777777" w:rsidR="00DB4D57" w:rsidRDefault="00000000">
            <w:pPr>
              <w:pStyle w:val="Textbody"/>
            </w:pPr>
            <w:r>
              <w:t>SSD</w:t>
            </w:r>
          </w:p>
        </w:tc>
        <w:tc>
          <w:tcPr>
            <w:tcW w:w="7790" w:type="dxa"/>
          </w:tcPr>
          <w:p w14:paraId="77FC1658" w14:textId="77777777" w:rsidR="00DB4D57" w:rsidRDefault="00000000">
            <w:pPr>
              <w:pStyle w:val="Textbody"/>
            </w:pPr>
            <w:r>
              <w:t>Solid State Drive</w:t>
            </w:r>
          </w:p>
        </w:tc>
      </w:tr>
      <w:tr w:rsidR="00A224B8" w14:paraId="7C19443C" w14:textId="77777777" w:rsidTr="00332D36">
        <w:tc>
          <w:tcPr>
            <w:tcW w:w="1838" w:type="dxa"/>
          </w:tcPr>
          <w:p w14:paraId="1CF2330B" w14:textId="77777777" w:rsidR="00DB4D57" w:rsidRDefault="00000000">
            <w:pPr>
              <w:pStyle w:val="Textbody"/>
            </w:pPr>
            <w:r>
              <w:t>T&amp;D</w:t>
            </w:r>
          </w:p>
        </w:tc>
        <w:tc>
          <w:tcPr>
            <w:tcW w:w="7790" w:type="dxa"/>
          </w:tcPr>
          <w:p w14:paraId="129CF741" w14:textId="77777777" w:rsidR="00DB4D57" w:rsidRDefault="00000000">
            <w:pPr>
              <w:pStyle w:val="Textbody"/>
            </w:pPr>
            <w:r>
              <w:t>Transport and Distribution</w:t>
            </w:r>
          </w:p>
        </w:tc>
      </w:tr>
      <w:tr w:rsidR="0028338C" w14:paraId="5B0B6280" w14:textId="77777777" w:rsidTr="00332D36">
        <w:tc>
          <w:tcPr>
            <w:tcW w:w="1838" w:type="dxa"/>
          </w:tcPr>
          <w:p w14:paraId="2AC62C51" w14:textId="77777777" w:rsidR="00DB4D57" w:rsidRDefault="00000000">
            <w:pPr>
              <w:pStyle w:val="Textbody"/>
            </w:pPr>
            <w:r>
              <w:t>VM</w:t>
            </w:r>
          </w:p>
        </w:tc>
        <w:tc>
          <w:tcPr>
            <w:tcW w:w="7790" w:type="dxa"/>
          </w:tcPr>
          <w:p w14:paraId="0F9EDFA5" w14:textId="77777777" w:rsidR="00DB4D57" w:rsidRDefault="00000000">
            <w:pPr>
              <w:pStyle w:val="Textbody"/>
            </w:pPr>
            <w:r>
              <w:t>Virtual Machine</w:t>
            </w:r>
          </w:p>
        </w:tc>
      </w:tr>
      <w:tr w:rsidR="00A224B8" w14:paraId="30C96E27" w14:textId="77777777" w:rsidTr="00332D36">
        <w:tc>
          <w:tcPr>
            <w:tcW w:w="1838" w:type="dxa"/>
          </w:tcPr>
          <w:p w14:paraId="5CF6639A" w14:textId="77777777" w:rsidR="00DB4D57" w:rsidRDefault="00000000">
            <w:pPr>
              <w:pStyle w:val="Textbody"/>
            </w:pPr>
            <w:r>
              <w:t>WTT</w:t>
            </w:r>
          </w:p>
        </w:tc>
        <w:tc>
          <w:tcPr>
            <w:tcW w:w="7790" w:type="dxa"/>
          </w:tcPr>
          <w:p w14:paraId="735800A8" w14:textId="77777777" w:rsidR="00DB4D57" w:rsidRDefault="00000000">
            <w:pPr>
              <w:pStyle w:val="Textbody"/>
            </w:pPr>
            <w:r>
              <w:t>Well to tank</w:t>
            </w:r>
          </w:p>
        </w:tc>
      </w:tr>
      <w:tr w:rsidR="0072008B" w14:paraId="7FBBE19D" w14:textId="77777777" w:rsidTr="00332D36">
        <w:tc>
          <w:tcPr>
            <w:tcW w:w="1838" w:type="dxa"/>
          </w:tcPr>
          <w:p w14:paraId="121E1496" w14:textId="77777777" w:rsidR="00DB4D57" w:rsidRDefault="00000000">
            <w:pPr>
              <w:pStyle w:val="Textbody"/>
            </w:pPr>
            <w:r>
              <w:t>WUE</w:t>
            </w:r>
          </w:p>
        </w:tc>
        <w:tc>
          <w:tcPr>
            <w:tcW w:w="7790" w:type="dxa"/>
          </w:tcPr>
          <w:p w14:paraId="27087305" w14:textId="77777777" w:rsidR="00DB4D57" w:rsidRDefault="00000000">
            <w:pPr>
              <w:pStyle w:val="Textbody"/>
            </w:pPr>
            <w:r>
              <w:rPr>
                <w:shd w:val="clear" w:color="auto" w:fill="FFFFFF"/>
              </w:rPr>
              <w:t>Water Usage Effectiveness</w:t>
            </w:r>
          </w:p>
        </w:tc>
      </w:tr>
    </w:tbl>
    <w:p w14:paraId="695789EF" w14:textId="77777777" w:rsidR="00BA76A2" w:rsidRDefault="00BA76A2" w:rsidP="00332D36">
      <w:pPr>
        <w:pStyle w:val="Textbody"/>
        <w:sectPr w:rsidR="00BA76A2" w:rsidSect="007F7866">
          <w:pgSz w:w="11906" w:h="16838"/>
          <w:pgMar w:top="1134" w:right="1134" w:bottom="991" w:left="1134" w:header="720" w:footer="342" w:gutter="0"/>
          <w:cols w:space="720"/>
          <w:titlePg/>
          <w:docGrid w:linePitch="326"/>
        </w:sectPr>
      </w:pPr>
    </w:p>
    <w:p w14:paraId="0A3146F5" w14:textId="77777777" w:rsidR="00DB4D57" w:rsidRDefault="00000000">
      <w:pPr>
        <w:pStyle w:val="Titre"/>
      </w:pPr>
      <w:bookmarkStart w:id="72" w:name="_Toc202948825"/>
      <w:r>
        <w:lastRenderedPageBreak/>
        <w:t>Table of Figures</w:t>
      </w:r>
      <w:bookmarkEnd w:id="72"/>
    </w:p>
    <w:p w14:paraId="09BFC0AF" w14:textId="07A1B308" w:rsidR="003D773D" w:rsidRDefault="00BA76A2">
      <w:pPr>
        <w:pStyle w:val="Tabledesillustrations"/>
        <w:tabs>
          <w:tab w:val="right" w:leader="dot" w:pos="9628"/>
        </w:tabs>
        <w:rPr>
          <w:rFonts w:eastAsiaTheme="minorEastAsia" w:cstheme="minorBidi"/>
          <w:smallCaps w:val="0"/>
          <w:noProof/>
          <w:kern w:val="2"/>
          <w:sz w:val="24"/>
          <w:szCs w:val="24"/>
          <w:lang w:val="fr-FR"/>
          <w14:ligatures w14:val="standardContextual"/>
        </w:rPr>
      </w:pPr>
      <w:r>
        <w:fldChar w:fldCharType="begin"/>
      </w:r>
      <w:r>
        <w:instrText xml:space="preserve"> TOC \h \z \c "Figure" </w:instrText>
      </w:r>
      <w:r>
        <w:fldChar w:fldCharType="separate"/>
      </w:r>
      <w:hyperlink w:anchor="_Toc202948836" w:history="1">
        <w:r w:rsidR="003D773D" w:rsidRPr="0052773E">
          <w:rPr>
            <w:rStyle w:val="Lienhypertexte"/>
            <w:rFonts w:eastAsia="Noto Sans CJK SC"/>
            <w:noProof/>
          </w:rPr>
          <w:t>Figure 1 - Perimeters for assessing the GHG emissions of cloud services (Source: OVHcloud)</w:t>
        </w:r>
        <w:r w:rsidR="003D773D">
          <w:rPr>
            <w:noProof/>
            <w:webHidden/>
          </w:rPr>
          <w:tab/>
        </w:r>
        <w:r w:rsidR="003D773D">
          <w:rPr>
            <w:noProof/>
            <w:webHidden/>
          </w:rPr>
          <w:fldChar w:fldCharType="begin"/>
        </w:r>
        <w:r w:rsidR="003D773D">
          <w:rPr>
            <w:noProof/>
            <w:webHidden/>
          </w:rPr>
          <w:instrText xml:space="preserve"> PAGEREF _Toc202948836 \h </w:instrText>
        </w:r>
        <w:r w:rsidR="003D773D">
          <w:rPr>
            <w:noProof/>
            <w:webHidden/>
          </w:rPr>
        </w:r>
        <w:r w:rsidR="003D773D">
          <w:rPr>
            <w:noProof/>
            <w:webHidden/>
          </w:rPr>
          <w:fldChar w:fldCharType="separate"/>
        </w:r>
        <w:r w:rsidR="003D773D">
          <w:rPr>
            <w:noProof/>
            <w:webHidden/>
          </w:rPr>
          <w:t>3</w:t>
        </w:r>
        <w:r w:rsidR="003D773D">
          <w:rPr>
            <w:noProof/>
            <w:webHidden/>
          </w:rPr>
          <w:fldChar w:fldCharType="end"/>
        </w:r>
      </w:hyperlink>
    </w:p>
    <w:p w14:paraId="1C4FB897" w14:textId="6C994C90"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37" w:history="1">
        <w:r w:rsidRPr="0052773E">
          <w:rPr>
            <w:rStyle w:val="Lienhypertexte"/>
            <w:rFonts w:eastAsia="Noto Sans CJK SC"/>
            <w:noProof/>
          </w:rPr>
          <w:t>Figure 2 - Diagram of the global approach chosen for environmental footprint assessment (source: OVHcloud</w:t>
        </w:r>
        <w:r>
          <w:rPr>
            <w:noProof/>
            <w:webHidden/>
          </w:rPr>
          <w:tab/>
        </w:r>
        <w:r>
          <w:rPr>
            <w:noProof/>
            <w:webHidden/>
          </w:rPr>
          <w:fldChar w:fldCharType="begin"/>
        </w:r>
        <w:r>
          <w:rPr>
            <w:noProof/>
            <w:webHidden/>
          </w:rPr>
          <w:instrText xml:space="preserve"> PAGEREF _Toc202948837 \h </w:instrText>
        </w:r>
        <w:r>
          <w:rPr>
            <w:noProof/>
            <w:webHidden/>
          </w:rPr>
        </w:r>
        <w:r>
          <w:rPr>
            <w:noProof/>
            <w:webHidden/>
          </w:rPr>
          <w:fldChar w:fldCharType="separate"/>
        </w:r>
        <w:r>
          <w:rPr>
            <w:noProof/>
            <w:webHidden/>
          </w:rPr>
          <w:t>4</w:t>
        </w:r>
        <w:r>
          <w:rPr>
            <w:noProof/>
            <w:webHidden/>
          </w:rPr>
          <w:fldChar w:fldCharType="end"/>
        </w:r>
      </w:hyperlink>
    </w:p>
    <w:p w14:paraId="3969497B" w14:textId="3BD6A415"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38" w:history="1">
        <w:r w:rsidRPr="0052773E">
          <w:rPr>
            <w:rStyle w:val="Lienhypertexte"/>
            <w:rFonts w:eastAsia="Noto Sans CJK SC"/>
            <w:noProof/>
          </w:rPr>
          <w:t>Figure 3 - Explaining picture of the composition of the OVHcloud server</w:t>
        </w:r>
        <w:r>
          <w:rPr>
            <w:noProof/>
            <w:webHidden/>
          </w:rPr>
          <w:tab/>
        </w:r>
        <w:r>
          <w:rPr>
            <w:noProof/>
            <w:webHidden/>
          </w:rPr>
          <w:fldChar w:fldCharType="begin"/>
        </w:r>
        <w:r>
          <w:rPr>
            <w:noProof/>
            <w:webHidden/>
          </w:rPr>
          <w:instrText xml:space="preserve"> PAGEREF _Toc202948838 \h </w:instrText>
        </w:r>
        <w:r>
          <w:rPr>
            <w:noProof/>
            <w:webHidden/>
          </w:rPr>
        </w:r>
        <w:r>
          <w:rPr>
            <w:noProof/>
            <w:webHidden/>
          </w:rPr>
          <w:fldChar w:fldCharType="separate"/>
        </w:r>
        <w:r>
          <w:rPr>
            <w:noProof/>
            <w:webHidden/>
          </w:rPr>
          <w:t>5</w:t>
        </w:r>
        <w:r>
          <w:rPr>
            <w:noProof/>
            <w:webHidden/>
          </w:rPr>
          <w:fldChar w:fldCharType="end"/>
        </w:r>
      </w:hyperlink>
    </w:p>
    <w:p w14:paraId="1734B83F" w14:textId="1EDECEB5"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39" w:history="1">
        <w:r w:rsidRPr="0052773E">
          <w:rPr>
            <w:rStyle w:val="Lienhypertexte"/>
            <w:rFonts w:eastAsia="Noto Sans CJK SC"/>
            <w:noProof/>
          </w:rPr>
          <w:t>Figure 4 - OVHcloud components lifecycle (Source: OVHcloud)</w:t>
        </w:r>
        <w:r>
          <w:rPr>
            <w:noProof/>
            <w:webHidden/>
          </w:rPr>
          <w:tab/>
        </w:r>
        <w:r>
          <w:rPr>
            <w:noProof/>
            <w:webHidden/>
          </w:rPr>
          <w:fldChar w:fldCharType="begin"/>
        </w:r>
        <w:r>
          <w:rPr>
            <w:noProof/>
            <w:webHidden/>
          </w:rPr>
          <w:instrText xml:space="preserve"> PAGEREF _Toc202948839 \h </w:instrText>
        </w:r>
        <w:r>
          <w:rPr>
            <w:noProof/>
            <w:webHidden/>
          </w:rPr>
        </w:r>
        <w:r>
          <w:rPr>
            <w:noProof/>
            <w:webHidden/>
          </w:rPr>
          <w:fldChar w:fldCharType="separate"/>
        </w:r>
        <w:r>
          <w:rPr>
            <w:noProof/>
            <w:webHidden/>
          </w:rPr>
          <w:t>7</w:t>
        </w:r>
        <w:r>
          <w:rPr>
            <w:noProof/>
            <w:webHidden/>
          </w:rPr>
          <w:fldChar w:fldCharType="end"/>
        </w:r>
      </w:hyperlink>
    </w:p>
    <w:p w14:paraId="5C8D0414" w14:textId="510455AA"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0" w:history="1">
        <w:r w:rsidRPr="0052773E">
          <w:rPr>
            <w:rStyle w:val="Lienhypertexte"/>
            <w:rFonts w:eastAsia="Noto Sans CJK SC"/>
            <w:noProof/>
          </w:rPr>
          <w:t>Figure 5 - Main power consumptions sources for operating a server (source: OVHcloud)</w:t>
        </w:r>
        <w:r>
          <w:rPr>
            <w:noProof/>
            <w:webHidden/>
          </w:rPr>
          <w:tab/>
        </w:r>
        <w:r>
          <w:rPr>
            <w:noProof/>
            <w:webHidden/>
          </w:rPr>
          <w:fldChar w:fldCharType="begin"/>
        </w:r>
        <w:r>
          <w:rPr>
            <w:noProof/>
            <w:webHidden/>
          </w:rPr>
          <w:instrText xml:space="preserve"> PAGEREF _Toc202948840 \h </w:instrText>
        </w:r>
        <w:r>
          <w:rPr>
            <w:noProof/>
            <w:webHidden/>
          </w:rPr>
        </w:r>
        <w:r>
          <w:rPr>
            <w:noProof/>
            <w:webHidden/>
          </w:rPr>
          <w:fldChar w:fldCharType="separate"/>
        </w:r>
        <w:r>
          <w:rPr>
            <w:noProof/>
            <w:webHidden/>
          </w:rPr>
          <w:t>8</w:t>
        </w:r>
        <w:r>
          <w:rPr>
            <w:noProof/>
            <w:webHidden/>
          </w:rPr>
          <w:fldChar w:fldCharType="end"/>
        </w:r>
      </w:hyperlink>
    </w:p>
    <w:p w14:paraId="28E26023" w14:textId="60BAD813"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1" w:history="1">
        <w:r w:rsidRPr="0052773E">
          <w:rPr>
            <w:rStyle w:val="Lienhypertexte"/>
            <w:rFonts w:eastAsia="Noto Sans CJK SC"/>
            <w:noProof/>
          </w:rPr>
          <w:t>Figure 6 – Elements for workload-based power conversion</w:t>
        </w:r>
        <w:r>
          <w:rPr>
            <w:noProof/>
            <w:webHidden/>
          </w:rPr>
          <w:tab/>
        </w:r>
        <w:r>
          <w:rPr>
            <w:noProof/>
            <w:webHidden/>
          </w:rPr>
          <w:fldChar w:fldCharType="begin"/>
        </w:r>
        <w:r>
          <w:rPr>
            <w:noProof/>
            <w:webHidden/>
          </w:rPr>
          <w:instrText xml:space="preserve"> PAGEREF _Toc202948841 \h </w:instrText>
        </w:r>
        <w:r>
          <w:rPr>
            <w:noProof/>
            <w:webHidden/>
          </w:rPr>
        </w:r>
        <w:r>
          <w:rPr>
            <w:noProof/>
            <w:webHidden/>
          </w:rPr>
          <w:fldChar w:fldCharType="separate"/>
        </w:r>
        <w:r>
          <w:rPr>
            <w:noProof/>
            <w:webHidden/>
          </w:rPr>
          <w:t>9</w:t>
        </w:r>
        <w:r>
          <w:rPr>
            <w:noProof/>
            <w:webHidden/>
          </w:rPr>
          <w:fldChar w:fldCharType="end"/>
        </w:r>
      </w:hyperlink>
    </w:p>
    <w:p w14:paraId="0F8EF5A3" w14:textId="521559F1"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2" w:history="1">
        <w:r w:rsidRPr="0052773E">
          <w:rPr>
            <w:rStyle w:val="Lienhypertexte"/>
            <w:rFonts w:eastAsia="Noto Sans CJK SC"/>
            <w:noProof/>
          </w:rPr>
          <w:t>Figure 7 - Heterogeneous configuration of servers hosting a Public Cloud range</w:t>
        </w:r>
        <w:r>
          <w:rPr>
            <w:noProof/>
            <w:webHidden/>
          </w:rPr>
          <w:tab/>
        </w:r>
        <w:r>
          <w:rPr>
            <w:noProof/>
            <w:webHidden/>
          </w:rPr>
          <w:fldChar w:fldCharType="begin"/>
        </w:r>
        <w:r>
          <w:rPr>
            <w:noProof/>
            <w:webHidden/>
          </w:rPr>
          <w:instrText xml:space="preserve"> PAGEREF _Toc202948842 \h </w:instrText>
        </w:r>
        <w:r>
          <w:rPr>
            <w:noProof/>
            <w:webHidden/>
          </w:rPr>
        </w:r>
        <w:r>
          <w:rPr>
            <w:noProof/>
            <w:webHidden/>
          </w:rPr>
          <w:fldChar w:fldCharType="separate"/>
        </w:r>
        <w:r>
          <w:rPr>
            <w:noProof/>
            <w:webHidden/>
          </w:rPr>
          <w:t>14</w:t>
        </w:r>
        <w:r>
          <w:rPr>
            <w:noProof/>
            <w:webHidden/>
          </w:rPr>
          <w:fldChar w:fldCharType="end"/>
        </w:r>
      </w:hyperlink>
    </w:p>
    <w:p w14:paraId="7A72164C" w14:textId="5F68CE95"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3" w:history="1">
        <w:r w:rsidRPr="0052773E">
          <w:rPr>
            <w:rStyle w:val="Lienhypertexte"/>
            <w:rFonts w:eastAsia="Noto Sans CJK SC"/>
            <w:noProof/>
          </w:rPr>
          <w:t>Figure 8 - Report template (source: OVHcloud)</w:t>
        </w:r>
        <w:r>
          <w:rPr>
            <w:noProof/>
            <w:webHidden/>
          </w:rPr>
          <w:tab/>
        </w:r>
        <w:r>
          <w:rPr>
            <w:noProof/>
            <w:webHidden/>
          </w:rPr>
          <w:fldChar w:fldCharType="begin"/>
        </w:r>
        <w:r>
          <w:rPr>
            <w:noProof/>
            <w:webHidden/>
          </w:rPr>
          <w:instrText xml:space="preserve"> PAGEREF _Toc202948843 \h </w:instrText>
        </w:r>
        <w:r>
          <w:rPr>
            <w:noProof/>
            <w:webHidden/>
          </w:rPr>
        </w:r>
        <w:r>
          <w:rPr>
            <w:noProof/>
            <w:webHidden/>
          </w:rPr>
          <w:fldChar w:fldCharType="separate"/>
        </w:r>
        <w:r>
          <w:rPr>
            <w:noProof/>
            <w:webHidden/>
          </w:rPr>
          <w:t>18</w:t>
        </w:r>
        <w:r>
          <w:rPr>
            <w:noProof/>
            <w:webHidden/>
          </w:rPr>
          <w:fldChar w:fldCharType="end"/>
        </w:r>
      </w:hyperlink>
    </w:p>
    <w:p w14:paraId="6F3E73CE" w14:textId="05CE68A2" w:rsidR="001746E1" w:rsidRDefault="00BA76A2" w:rsidP="001746E1">
      <w:pPr>
        <w:pStyle w:val="Titre"/>
      </w:pPr>
      <w:r>
        <w:fldChar w:fldCharType="end"/>
      </w:r>
      <w:r w:rsidR="001746E1" w:rsidRPr="001746E1">
        <w:t xml:space="preserve"> </w:t>
      </w:r>
    </w:p>
    <w:p w14:paraId="07FCCD6A" w14:textId="76041B6D" w:rsidR="001746E1" w:rsidRPr="001746E1" w:rsidRDefault="001746E1" w:rsidP="001746E1">
      <w:pPr>
        <w:pStyle w:val="Titre"/>
      </w:pPr>
      <w:bookmarkStart w:id="73" w:name="_Toc202948826"/>
      <w:r>
        <w:t>Table of Tables</w:t>
      </w:r>
      <w:bookmarkEnd w:id="73"/>
    </w:p>
    <w:p w14:paraId="5125528A" w14:textId="2FC15860" w:rsidR="003D773D" w:rsidRDefault="001746E1">
      <w:pPr>
        <w:pStyle w:val="Tabledesillustrations"/>
        <w:tabs>
          <w:tab w:val="right" w:leader="dot" w:pos="9628"/>
        </w:tabs>
        <w:rPr>
          <w:rFonts w:eastAsiaTheme="minorEastAsia" w:cstheme="minorBidi"/>
          <w:smallCaps w:val="0"/>
          <w:noProof/>
          <w:kern w:val="2"/>
          <w:sz w:val="24"/>
          <w:szCs w:val="24"/>
          <w:lang w:val="fr-FR"/>
          <w14:ligatures w14:val="standardContextual"/>
        </w:rPr>
      </w:pPr>
      <w:r>
        <w:fldChar w:fldCharType="begin"/>
      </w:r>
      <w:r>
        <w:instrText xml:space="preserve"> TOC \h \z \c "Table" </w:instrText>
      </w:r>
      <w:r>
        <w:fldChar w:fldCharType="separate"/>
      </w:r>
      <w:hyperlink w:anchor="_Toc202948844" w:history="1">
        <w:r w:rsidR="003D773D" w:rsidRPr="00887077">
          <w:rPr>
            <w:rStyle w:val="Lienhypertexte"/>
            <w:rFonts w:eastAsia="Noto Sans CJK SC"/>
            <w:noProof/>
          </w:rPr>
          <w:t>Table 1 - Carbon footprint of major components (Source: IJO, 2022)</w:t>
        </w:r>
        <w:r w:rsidR="003D773D">
          <w:rPr>
            <w:noProof/>
            <w:webHidden/>
          </w:rPr>
          <w:tab/>
        </w:r>
        <w:r w:rsidR="003D773D">
          <w:rPr>
            <w:noProof/>
            <w:webHidden/>
          </w:rPr>
          <w:fldChar w:fldCharType="begin"/>
        </w:r>
        <w:r w:rsidR="003D773D">
          <w:rPr>
            <w:noProof/>
            <w:webHidden/>
          </w:rPr>
          <w:instrText xml:space="preserve"> PAGEREF _Toc202948844 \h </w:instrText>
        </w:r>
        <w:r w:rsidR="003D773D">
          <w:rPr>
            <w:noProof/>
            <w:webHidden/>
          </w:rPr>
        </w:r>
        <w:r w:rsidR="003D773D">
          <w:rPr>
            <w:noProof/>
            <w:webHidden/>
          </w:rPr>
          <w:fldChar w:fldCharType="separate"/>
        </w:r>
        <w:r w:rsidR="003D773D">
          <w:rPr>
            <w:noProof/>
            <w:webHidden/>
          </w:rPr>
          <w:t>6</w:t>
        </w:r>
        <w:r w:rsidR="003D773D">
          <w:rPr>
            <w:noProof/>
            <w:webHidden/>
          </w:rPr>
          <w:fldChar w:fldCharType="end"/>
        </w:r>
      </w:hyperlink>
    </w:p>
    <w:p w14:paraId="1FDC4C21" w14:textId="5EEFB95F"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5" w:history="1">
        <w:r w:rsidRPr="00887077">
          <w:rPr>
            <w:rStyle w:val="Lienhypertexte"/>
            <w:rFonts w:eastAsia="Noto Sans CJK SC"/>
            <w:noProof/>
          </w:rPr>
          <w:t>Table 2 - GHG intensity of electricity mix where OVHcloud operate</w:t>
        </w:r>
        <w:r>
          <w:rPr>
            <w:noProof/>
            <w:webHidden/>
          </w:rPr>
          <w:tab/>
        </w:r>
        <w:r>
          <w:rPr>
            <w:noProof/>
            <w:webHidden/>
          </w:rPr>
          <w:fldChar w:fldCharType="begin"/>
        </w:r>
        <w:r>
          <w:rPr>
            <w:noProof/>
            <w:webHidden/>
          </w:rPr>
          <w:instrText xml:space="preserve"> PAGEREF _Toc202948845 \h </w:instrText>
        </w:r>
        <w:r>
          <w:rPr>
            <w:noProof/>
            <w:webHidden/>
          </w:rPr>
        </w:r>
        <w:r>
          <w:rPr>
            <w:noProof/>
            <w:webHidden/>
          </w:rPr>
          <w:fldChar w:fldCharType="separate"/>
        </w:r>
        <w:r>
          <w:rPr>
            <w:noProof/>
            <w:webHidden/>
          </w:rPr>
          <w:t>10</w:t>
        </w:r>
        <w:r>
          <w:rPr>
            <w:noProof/>
            <w:webHidden/>
          </w:rPr>
          <w:fldChar w:fldCharType="end"/>
        </w:r>
      </w:hyperlink>
    </w:p>
    <w:p w14:paraId="61615937" w14:textId="0AF07499"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6" w:history="1">
        <w:r w:rsidRPr="00887077">
          <w:rPr>
            <w:rStyle w:val="Lienhypertexte"/>
            <w:rFonts w:eastAsia="Noto Sans CJK SC"/>
            <w:noProof/>
          </w:rPr>
          <w:t>Table 3 - Table of OVHcloud offers with the dedicated or mutualized services categorization</w:t>
        </w:r>
        <w:r>
          <w:rPr>
            <w:noProof/>
            <w:webHidden/>
          </w:rPr>
          <w:tab/>
        </w:r>
        <w:r>
          <w:rPr>
            <w:noProof/>
            <w:webHidden/>
          </w:rPr>
          <w:fldChar w:fldCharType="begin"/>
        </w:r>
        <w:r>
          <w:rPr>
            <w:noProof/>
            <w:webHidden/>
          </w:rPr>
          <w:instrText xml:space="preserve"> PAGEREF _Toc202948846 \h </w:instrText>
        </w:r>
        <w:r>
          <w:rPr>
            <w:noProof/>
            <w:webHidden/>
          </w:rPr>
        </w:r>
        <w:r>
          <w:rPr>
            <w:noProof/>
            <w:webHidden/>
          </w:rPr>
          <w:fldChar w:fldCharType="separate"/>
        </w:r>
        <w:r>
          <w:rPr>
            <w:noProof/>
            <w:webHidden/>
          </w:rPr>
          <w:t>12</w:t>
        </w:r>
        <w:r>
          <w:rPr>
            <w:noProof/>
            <w:webHidden/>
          </w:rPr>
          <w:fldChar w:fldCharType="end"/>
        </w:r>
      </w:hyperlink>
    </w:p>
    <w:p w14:paraId="6EA87AE7" w14:textId="685B8D5F"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7" w:history="1">
        <w:r w:rsidRPr="00887077">
          <w:rPr>
            <w:rStyle w:val="Lienhypertexte"/>
            <w:rFonts w:eastAsia="Noto Sans CJK SC"/>
            <w:noProof/>
          </w:rPr>
          <w:t>Table 4 - Reference template of  b3 range</w:t>
        </w:r>
        <w:r>
          <w:rPr>
            <w:noProof/>
            <w:webHidden/>
          </w:rPr>
          <w:tab/>
        </w:r>
        <w:r>
          <w:rPr>
            <w:noProof/>
            <w:webHidden/>
          </w:rPr>
          <w:fldChar w:fldCharType="begin"/>
        </w:r>
        <w:r>
          <w:rPr>
            <w:noProof/>
            <w:webHidden/>
          </w:rPr>
          <w:instrText xml:space="preserve"> PAGEREF _Toc202948847 \h </w:instrText>
        </w:r>
        <w:r>
          <w:rPr>
            <w:noProof/>
            <w:webHidden/>
          </w:rPr>
        </w:r>
        <w:r>
          <w:rPr>
            <w:noProof/>
            <w:webHidden/>
          </w:rPr>
          <w:fldChar w:fldCharType="separate"/>
        </w:r>
        <w:r>
          <w:rPr>
            <w:noProof/>
            <w:webHidden/>
          </w:rPr>
          <w:t>15</w:t>
        </w:r>
        <w:r>
          <w:rPr>
            <w:noProof/>
            <w:webHidden/>
          </w:rPr>
          <w:fldChar w:fldCharType="end"/>
        </w:r>
      </w:hyperlink>
    </w:p>
    <w:p w14:paraId="57C1468B" w14:textId="507FEDA6" w:rsidR="001746E1" w:rsidRPr="001746E1" w:rsidRDefault="001746E1" w:rsidP="001746E1">
      <w:r>
        <w:fldChar w:fldCharType="end"/>
      </w:r>
    </w:p>
    <w:p w14:paraId="6FF59848" w14:textId="77777777" w:rsidR="00DB4D57" w:rsidRDefault="00000000">
      <w:pPr>
        <w:pStyle w:val="Titre"/>
      </w:pPr>
      <w:bookmarkStart w:id="74" w:name="_Toc202948827"/>
      <w:r>
        <w:t>Table of Equations</w:t>
      </w:r>
      <w:bookmarkEnd w:id="74"/>
    </w:p>
    <w:p w14:paraId="51DB9A14" w14:textId="5937FF95" w:rsidR="003D773D" w:rsidRDefault="001B4329">
      <w:pPr>
        <w:pStyle w:val="Tabledesillustrations"/>
        <w:tabs>
          <w:tab w:val="right" w:leader="dot" w:pos="9628"/>
        </w:tabs>
        <w:rPr>
          <w:rFonts w:eastAsiaTheme="minorEastAsia" w:cstheme="minorBidi"/>
          <w:smallCaps w:val="0"/>
          <w:noProof/>
          <w:kern w:val="2"/>
          <w:sz w:val="24"/>
          <w:szCs w:val="24"/>
          <w:lang w:val="fr-FR"/>
          <w14:ligatures w14:val="standardContextual"/>
        </w:rPr>
      </w:pPr>
      <w:r>
        <w:fldChar w:fldCharType="begin"/>
      </w:r>
      <w:r>
        <w:instrText xml:space="preserve"> TOC \h \z \c "Équation" </w:instrText>
      </w:r>
      <w:r>
        <w:fldChar w:fldCharType="separate"/>
      </w:r>
      <w:hyperlink w:anchor="_Toc202948848" w:history="1">
        <w:r w:rsidR="003D773D" w:rsidRPr="008B125F">
          <w:rPr>
            <w:rStyle w:val="Lienhypertexte"/>
            <w:rFonts w:eastAsia="Noto Sans CJK SC"/>
            <w:noProof/>
          </w:rPr>
          <w:t>Equation 1 - Calculation of the environmental footprint of server manufacturing (excluding refurbishment)</w:t>
        </w:r>
        <w:r w:rsidR="003D773D">
          <w:rPr>
            <w:noProof/>
            <w:webHidden/>
          </w:rPr>
          <w:tab/>
        </w:r>
        <w:r w:rsidR="003D773D">
          <w:rPr>
            <w:noProof/>
            <w:webHidden/>
          </w:rPr>
          <w:fldChar w:fldCharType="begin"/>
        </w:r>
        <w:r w:rsidR="003D773D">
          <w:rPr>
            <w:noProof/>
            <w:webHidden/>
          </w:rPr>
          <w:instrText xml:space="preserve"> PAGEREF _Toc202948848 \h </w:instrText>
        </w:r>
        <w:r w:rsidR="003D773D">
          <w:rPr>
            <w:noProof/>
            <w:webHidden/>
          </w:rPr>
        </w:r>
        <w:r w:rsidR="003D773D">
          <w:rPr>
            <w:noProof/>
            <w:webHidden/>
          </w:rPr>
          <w:fldChar w:fldCharType="separate"/>
        </w:r>
        <w:r w:rsidR="003D773D">
          <w:rPr>
            <w:noProof/>
            <w:webHidden/>
          </w:rPr>
          <w:t>6</w:t>
        </w:r>
        <w:r w:rsidR="003D773D">
          <w:rPr>
            <w:noProof/>
            <w:webHidden/>
          </w:rPr>
          <w:fldChar w:fldCharType="end"/>
        </w:r>
      </w:hyperlink>
    </w:p>
    <w:p w14:paraId="70B2D451" w14:textId="580C274B"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49" w:history="1">
        <w:r w:rsidRPr="008B125F">
          <w:rPr>
            <w:rStyle w:val="Lienhypertexte"/>
            <w:rFonts w:eastAsia="Noto Sans CJK SC"/>
            <w:noProof/>
          </w:rPr>
          <w:t>Equation 2 - Calculation of the environmental footprint of server manufacturing (with refurbishment)</w:t>
        </w:r>
        <w:r>
          <w:rPr>
            <w:noProof/>
            <w:webHidden/>
          </w:rPr>
          <w:tab/>
        </w:r>
        <w:r>
          <w:rPr>
            <w:noProof/>
            <w:webHidden/>
          </w:rPr>
          <w:fldChar w:fldCharType="begin"/>
        </w:r>
        <w:r>
          <w:rPr>
            <w:noProof/>
            <w:webHidden/>
          </w:rPr>
          <w:instrText xml:space="preserve"> PAGEREF _Toc202948849 \h </w:instrText>
        </w:r>
        <w:r>
          <w:rPr>
            <w:noProof/>
            <w:webHidden/>
          </w:rPr>
        </w:r>
        <w:r>
          <w:rPr>
            <w:noProof/>
            <w:webHidden/>
          </w:rPr>
          <w:fldChar w:fldCharType="separate"/>
        </w:r>
        <w:r>
          <w:rPr>
            <w:noProof/>
            <w:webHidden/>
          </w:rPr>
          <w:t>7</w:t>
        </w:r>
        <w:r>
          <w:rPr>
            <w:noProof/>
            <w:webHidden/>
          </w:rPr>
          <w:fldChar w:fldCharType="end"/>
        </w:r>
      </w:hyperlink>
    </w:p>
    <w:p w14:paraId="17882C93" w14:textId="3D8F69A0"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50" w:history="1">
        <w:r w:rsidRPr="008B125F">
          <w:rPr>
            <w:rStyle w:val="Lienhypertexte"/>
            <w:rFonts w:eastAsia="Noto Sans CJK SC"/>
            <w:noProof/>
          </w:rPr>
          <w:t>Equation 3 - Calculation of the environmental footprint of the usage phase of a server</w:t>
        </w:r>
        <w:r>
          <w:rPr>
            <w:noProof/>
            <w:webHidden/>
          </w:rPr>
          <w:tab/>
        </w:r>
        <w:r>
          <w:rPr>
            <w:noProof/>
            <w:webHidden/>
          </w:rPr>
          <w:fldChar w:fldCharType="begin"/>
        </w:r>
        <w:r>
          <w:rPr>
            <w:noProof/>
            <w:webHidden/>
          </w:rPr>
          <w:instrText xml:space="preserve"> PAGEREF _Toc202948850 \h </w:instrText>
        </w:r>
        <w:r>
          <w:rPr>
            <w:noProof/>
            <w:webHidden/>
          </w:rPr>
        </w:r>
        <w:r>
          <w:rPr>
            <w:noProof/>
            <w:webHidden/>
          </w:rPr>
          <w:fldChar w:fldCharType="separate"/>
        </w:r>
        <w:r>
          <w:rPr>
            <w:noProof/>
            <w:webHidden/>
          </w:rPr>
          <w:t>9</w:t>
        </w:r>
        <w:r>
          <w:rPr>
            <w:noProof/>
            <w:webHidden/>
          </w:rPr>
          <w:fldChar w:fldCharType="end"/>
        </w:r>
      </w:hyperlink>
    </w:p>
    <w:p w14:paraId="5E22D4B3" w14:textId="7A8D3E36"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51" w:history="1">
        <w:r w:rsidRPr="008B125F">
          <w:rPr>
            <w:rStyle w:val="Lienhypertexte"/>
            <w:rFonts w:eastAsia="Noto Sans CJK SC"/>
            <w:noProof/>
          </w:rPr>
          <w:t>Equation 4 - Computing a customer's environmental footprint with dedicated servers</w:t>
        </w:r>
        <w:r>
          <w:rPr>
            <w:noProof/>
            <w:webHidden/>
          </w:rPr>
          <w:tab/>
        </w:r>
        <w:r>
          <w:rPr>
            <w:noProof/>
            <w:webHidden/>
          </w:rPr>
          <w:fldChar w:fldCharType="begin"/>
        </w:r>
        <w:r>
          <w:rPr>
            <w:noProof/>
            <w:webHidden/>
          </w:rPr>
          <w:instrText xml:space="preserve"> PAGEREF _Toc202948851 \h </w:instrText>
        </w:r>
        <w:r>
          <w:rPr>
            <w:noProof/>
            <w:webHidden/>
          </w:rPr>
        </w:r>
        <w:r>
          <w:rPr>
            <w:noProof/>
            <w:webHidden/>
          </w:rPr>
          <w:fldChar w:fldCharType="separate"/>
        </w:r>
        <w:r>
          <w:rPr>
            <w:noProof/>
            <w:webHidden/>
          </w:rPr>
          <w:t>13</w:t>
        </w:r>
        <w:r>
          <w:rPr>
            <w:noProof/>
            <w:webHidden/>
          </w:rPr>
          <w:fldChar w:fldCharType="end"/>
        </w:r>
      </w:hyperlink>
    </w:p>
    <w:p w14:paraId="7946B3EF" w14:textId="54A65624" w:rsidR="003D773D" w:rsidRDefault="003D773D">
      <w:pPr>
        <w:pStyle w:val="Tabledesillustrations"/>
        <w:tabs>
          <w:tab w:val="right" w:leader="dot" w:pos="9628"/>
        </w:tabs>
        <w:rPr>
          <w:rFonts w:eastAsiaTheme="minorEastAsia" w:cstheme="minorBidi"/>
          <w:smallCaps w:val="0"/>
          <w:noProof/>
          <w:kern w:val="2"/>
          <w:sz w:val="24"/>
          <w:szCs w:val="24"/>
          <w:lang w:val="fr-FR"/>
          <w14:ligatures w14:val="standardContextual"/>
        </w:rPr>
      </w:pPr>
      <w:hyperlink w:anchor="_Toc202948852" w:history="1">
        <w:r w:rsidRPr="008B125F">
          <w:rPr>
            <w:rStyle w:val="Lienhypertexte"/>
            <w:rFonts w:eastAsia="Noto Sans CJK SC"/>
            <w:noProof/>
          </w:rPr>
          <w:t>Equation 5 - Calculation of the environmental footprint of an instance of the reference template</w:t>
        </w:r>
        <w:r>
          <w:rPr>
            <w:noProof/>
            <w:webHidden/>
          </w:rPr>
          <w:tab/>
        </w:r>
        <w:r>
          <w:rPr>
            <w:noProof/>
            <w:webHidden/>
          </w:rPr>
          <w:fldChar w:fldCharType="begin"/>
        </w:r>
        <w:r>
          <w:rPr>
            <w:noProof/>
            <w:webHidden/>
          </w:rPr>
          <w:instrText xml:space="preserve"> PAGEREF _Toc202948852 \h </w:instrText>
        </w:r>
        <w:r>
          <w:rPr>
            <w:noProof/>
            <w:webHidden/>
          </w:rPr>
        </w:r>
        <w:r>
          <w:rPr>
            <w:noProof/>
            <w:webHidden/>
          </w:rPr>
          <w:fldChar w:fldCharType="separate"/>
        </w:r>
        <w:r>
          <w:rPr>
            <w:noProof/>
            <w:webHidden/>
          </w:rPr>
          <w:t>16</w:t>
        </w:r>
        <w:r>
          <w:rPr>
            <w:noProof/>
            <w:webHidden/>
          </w:rPr>
          <w:fldChar w:fldCharType="end"/>
        </w:r>
      </w:hyperlink>
    </w:p>
    <w:p w14:paraId="598BABAC" w14:textId="2871E105" w:rsidR="001B4329" w:rsidRPr="001B4329" w:rsidRDefault="001B4329" w:rsidP="001B4329">
      <w:r>
        <w:fldChar w:fldCharType="end"/>
      </w:r>
    </w:p>
    <w:p w14:paraId="6BFBC89F" w14:textId="79DF24FE" w:rsidR="001B4329" w:rsidRPr="001B4329" w:rsidRDefault="001B4329" w:rsidP="001B4329"/>
    <w:sectPr w:rsidR="001B4329" w:rsidRPr="001B4329" w:rsidSect="007F7866">
      <w:pgSz w:w="11906" w:h="16838"/>
      <w:pgMar w:top="1134" w:right="1134" w:bottom="991" w:left="1134" w:header="720" w:footer="3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BF7AA" w14:textId="77777777" w:rsidR="00BD1133" w:rsidRDefault="00BD1133">
      <w:r>
        <w:separator/>
      </w:r>
    </w:p>
  </w:endnote>
  <w:endnote w:type="continuationSeparator" w:id="0">
    <w:p w14:paraId="43784D70" w14:textId="77777777" w:rsidR="00BD1133" w:rsidRDefault="00BD1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font>
  <w:font w:name="Noto Serif CJK SC">
    <w:altName w:val="Calibri"/>
    <w:panose1 w:val="020B0604020202020204"/>
    <w:charset w:val="00"/>
    <w:family w:val="auto"/>
    <w:pitch w:val="variable"/>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4D"/>
    <w:family w:val="swiss"/>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Noto Sans CJK SC">
    <w:panose1 w:val="020B0604020202020204"/>
    <w:charset w:val="00"/>
    <w:family w:val="auto"/>
    <w:pitch w:val="variable"/>
  </w:font>
  <w:font w:name="Lohit Devanagari">
    <w:altName w:val="Calibri"/>
    <w:panose1 w:val="020B0604020202020204"/>
    <w:charset w:val="00"/>
    <w:family w:val="auto"/>
    <w:pitch w:val="variable"/>
  </w:font>
  <w:font w:name="Source Sans Pro Black">
    <w:altName w:val="Arial"/>
    <w:panose1 w:val="020B08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2BA6" w14:textId="77777777" w:rsidR="00DB4D57" w:rsidRDefault="00000000">
    <w:pPr>
      <w:pStyle w:val="Pieddepage"/>
    </w:pPr>
    <w:r>
      <w:tab/>
    </w:r>
    <w:r>
      <w:tab/>
    </w: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4FFF" w14:textId="7E2DD215" w:rsidR="00340053" w:rsidRDefault="00000000" w:rsidP="0061751A">
    <w:pPr>
      <w:pStyle w:val="Pieddepage"/>
    </w:pPr>
    <w:r>
      <w:rPr>
        <w:noProof/>
      </w:rPr>
      <w:drawing>
        <wp:anchor distT="0" distB="0" distL="114300" distR="114300" simplePos="0" relativeHeight="251661312" behindDoc="0" locked="0" layoutInCell="1" allowOverlap="1" wp14:anchorId="6559DFF4" wp14:editId="43F1781F">
          <wp:simplePos x="0" y="0"/>
          <wp:positionH relativeFrom="page">
            <wp:align>right</wp:align>
          </wp:positionH>
          <wp:positionV relativeFrom="paragraph">
            <wp:posOffset>-3336985</wp:posOffset>
          </wp:positionV>
          <wp:extent cx="5943600" cy="3724920"/>
          <wp:effectExtent l="0" t="0" r="0" b="8890"/>
          <wp:wrapSquare wrapText="bothSides"/>
          <wp:docPr id="713510246" name="Image1" descr="Une image contenant art, ligne, capture d’écran, Caractère coloré&#10;&#10;Description générée automatiquement"/>
          <wp:cNvGraphicFramePr/>
          <a:graphic xmlns:a="http://schemas.openxmlformats.org/drawingml/2006/main">
            <a:graphicData uri="http://schemas.openxmlformats.org/drawingml/2006/picture">
              <pic:pic xmlns:pic="http://schemas.openxmlformats.org/drawingml/2006/picture">
                <pic:nvPicPr>
                  <pic:cNvPr id="2078066855" name="Image1" descr="Une image contenant art, ligne, capture d’écran, Caractère coloré&#10;&#10;Description générée automatiquement"/>
                  <pic:cNvPicPr/>
                </pic:nvPicPr>
                <pic:blipFill>
                  <a:blip r:embed="rId1">
                    <a:lum/>
                    <a:alphaModFix/>
                  </a:blip>
                  <a:srcRect/>
                  <a:stretch>
                    <a:fillRect/>
                  </a:stretch>
                </pic:blipFill>
                <pic:spPr>
                  <a:xfrm>
                    <a:off x="0" y="0"/>
                    <a:ext cx="5943600" cy="37249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E452" w14:textId="2648AA0F" w:rsidR="00332D36" w:rsidRDefault="00332D36" w:rsidP="0061751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620113932"/>
      <w:docPartObj>
        <w:docPartGallery w:val="Page Numbers (Bottom of Page)"/>
        <w:docPartUnique/>
      </w:docPartObj>
    </w:sdtPr>
    <w:sdtEndPr>
      <w:rPr>
        <w:rStyle w:val="Numrodepage"/>
        <w:color w:val="000D9C"/>
      </w:rPr>
    </w:sdtEndPr>
    <w:sdtContent>
      <w:p w14:paraId="33B591D4" w14:textId="77777777" w:rsidR="00DB4D57" w:rsidRDefault="00000000">
        <w:pPr>
          <w:pStyle w:val="Pieddepage"/>
          <w:framePr w:wrap="none" w:vAnchor="text" w:hAnchor="margin" w:xAlign="right" w:y="1"/>
          <w:rPr>
            <w:rStyle w:val="Numrodepage"/>
            <w:color w:val="000D9C"/>
          </w:rPr>
        </w:pPr>
        <w:r w:rsidRPr="0061751A">
          <w:rPr>
            <w:rStyle w:val="Numrodepage"/>
            <w:color w:val="000D9C"/>
          </w:rPr>
          <w:fldChar w:fldCharType="begin"/>
        </w:r>
        <w:r w:rsidRPr="0061751A">
          <w:rPr>
            <w:rStyle w:val="Numrodepage"/>
            <w:color w:val="000D9C"/>
          </w:rPr>
          <w:instrText xml:space="preserve"> PAGE </w:instrText>
        </w:r>
        <w:r w:rsidRPr="0061751A">
          <w:rPr>
            <w:rStyle w:val="Numrodepage"/>
            <w:color w:val="000D9C"/>
          </w:rPr>
          <w:fldChar w:fldCharType="separate"/>
        </w:r>
        <w:r>
          <w:rPr>
            <w:rStyle w:val="Numrodepage"/>
            <w:noProof/>
            <w:color w:val="000D9C"/>
          </w:rPr>
          <w:t>1</w:t>
        </w:r>
        <w:r w:rsidRPr="0061751A">
          <w:rPr>
            <w:rStyle w:val="Numrodepage"/>
            <w:color w:val="000D9C"/>
          </w:rPr>
          <w:fldChar w:fldCharType="end"/>
        </w:r>
      </w:p>
    </w:sdtContent>
  </w:sdt>
  <w:p w14:paraId="2CD7FF54" w14:textId="77DF596F" w:rsidR="00340053" w:rsidRDefault="00340053" w:rsidP="006175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78A06" w14:textId="77777777" w:rsidR="00BD1133" w:rsidRDefault="00BD1133">
      <w:r>
        <w:separator/>
      </w:r>
    </w:p>
  </w:footnote>
  <w:footnote w:type="continuationSeparator" w:id="0">
    <w:p w14:paraId="472602B2" w14:textId="77777777" w:rsidR="00BD1133" w:rsidRDefault="00BD1133">
      <w:r>
        <w:continuationSeparator/>
      </w:r>
    </w:p>
  </w:footnote>
  <w:footnote w:id="1">
    <w:p w14:paraId="0FC1BCBC" w14:textId="77777777" w:rsidR="00DB4D57" w:rsidRDefault="00000000">
      <w:pPr>
        <w:pStyle w:val="Notedebasdepage"/>
        <w:rPr>
          <w:rStyle w:val="Accentuationlgre"/>
        </w:rPr>
      </w:pPr>
      <w:r w:rsidRPr="00386347">
        <w:rPr>
          <w:rStyle w:val="Accentuationlgre"/>
        </w:rPr>
        <w:footnoteRef/>
      </w:r>
      <w:r>
        <w:rPr>
          <w:rStyle w:val="Accentuationlgre"/>
        </w:rPr>
        <w:t xml:space="preserve"> The annual results for 2024 are available on the OVHcloud </w:t>
      </w:r>
      <w:hyperlink r:id="rId1" w:history="1">
        <w:r w:rsidR="00DB4D57">
          <w:rPr>
            <w:rStyle w:val="Lienhypertexte"/>
            <w:sz w:val="18"/>
            <w:szCs w:val="18"/>
          </w:rPr>
          <w:t>website</w:t>
        </w:r>
      </w:hyperlink>
      <w:r>
        <w:rPr>
          <w:rStyle w:val="Accentuationlgre"/>
        </w:rPr>
        <w:t>.</w:t>
      </w:r>
    </w:p>
  </w:footnote>
  <w:footnote w:id="2">
    <w:p w14:paraId="16723A9C" w14:textId="77777777" w:rsidR="00DB4D57" w:rsidRDefault="00000000">
      <w:pPr>
        <w:pStyle w:val="Notedebasdepage"/>
      </w:pPr>
      <w:r>
        <w:rPr>
          <w:rStyle w:val="Appelnotedebasdep"/>
        </w:rPr>
        <w:footnoteRef/>
      </w:r>
      <w:r>
        <w:t xml:space="preserve"> </w:t>
      </w:r>
      <w:r>
        <w:rPr>
          <w:rStyle w:val="Accentuationlgre"/>
        </w:rPr>
        <w:t xml:space="preserve">Green Cloud Computing - Lebenszyklusbasierte Datenerhebung zu Umweltwirkungen des Cloud Computing (2021) - </w:t>
      </w:r>
      <w:hyperlink r:id="rId2" w:history="1">
        <w:r w:rsidR="00DB4D57">
          <w:rPr>
            <w:rStyle w:val="Accentuationlgre"/>
          </w:rPr>
          <w:t>link</w:t>
        </w:r>
      </w:hyperlink>
    </w:p>
  </w:footnote>
  <w:footnote w:id="3">
    <w:p w14:paraId="78045B57" w14:textId="77777777" w:rsidR="00592C04" w:rsidRDefault="00592C04" w:rsidP="00592C04">
      <w:pPr>
        <w:rPr>
          <w:rStyle w:val="Accentuationlgre"/>
        </w:rPr>
      </w:pPr>
      <w:r>
        <w:rPr>
          <w:rStyle w:val="Appelnotedebasdep"/>
        </w:rPr>
        <w:footnoteRef/>
      </w:r>
      <w:r>
        <w:t xml:space="preserve"> </w:t>
      </w:r>
      <w:r>
        <w:rPr>
          <w:rStyle w:val="Accentuationlgre"/>
        </w:rPr>
        <w:t xml:space="preserve">Available </w:t>
      </w:r>
      <w:hyperlink r:id="rId3" w:history="1">
        <w:r>
          <w:rPr>
            <w:rStyle w:val="Lienhypertexte"/>
            <w:sz w:val="18"/>
            <w:szCs w:val="18"/>
          </w:rPr>
          <w:t>here</w:t>
        </w:r>
      </w:hyperlink>
      <w:r>
        <w:rPr>
          <w:rStyle w:val="Accentuationlgre"/>
        </w:rPr>
        <w:t xml:space="preserve"> under the Open Database License (ODbL): </w:t>
      </w:r>
      <w:hyperlink r:id="rId4" w:history="1">
        <w:r>
          <w:rPr>
            <w:rStyle w:val="Accentuationlgre"/>
          </w:rPr>
          <w:t>https://opendatacommons.org/licenses/odbl/1-0/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EC5"/>
    <w:multiLevelType w:val="multilevel"/>
    <w:tmpl w:val="4F18A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83534"/>
    <w:multiLevelType w:val="hybridMultilevel"/>
    <w:tmpl w:val="82D0F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5D09EF"/>
    <w:multiLevelType w:val="hybridMultilevel"/>
    <w:tmpl w:val="A9524756"/>
    <w:lvl w:ilvl="0" w:tplc="879ABF68">
      <w:start w:val="25"/>
      <w:numFmt w:val="bullet"/>
      <w:lvlText w:val="-"/>
      <w:lvlJc w:val="left"/>
      <w:pPr>
        <w:ind w:left="644" w:hanging="360"/>
      </w:pPr>
      <w:rPr>
        <w:rFonts w:ascii="Liberation Serif" w:eastAsia="Noto Serif CJK SC" w:hAnsi="Liberation Serif" w:cs="Mang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163B7761"/>
    <w:multiLevelType w:val="hybridMultilevel"/>
    <w:tmpl w:val="20663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61310"/>
    <w:multiLevelType w:val="multilevel"/>
    <w:tmpl w:val="3CE0DDB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7361A01"/>
    <w:multiLevelType w:val="hybridMultilevel"/>
    <w:tmpl w:val="ABA46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D604A"/>
    <w:multiLevelType w:val="hybridMultilevel"/>
    <w:tmpl w:val="8FDC6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03CD5"/>
    <w:multiLevelType w:val="hybridMultilevel"/>
    <w:tmpl w:val="03702E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203685"/>
    <w:multiLevelType w:val="hybridMultilevel"/>
    <w:tmpl w:val="8C68D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3A6501"/>
    <w:multiLevelType w:val="hybridMultilevel"/>
    <w:tmpl w:val="2730B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A32BF6"/>
    <w:multiLevelType w:val="hybridMultilevel"/>
    <w:tmpl w:val="73C49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6A529A"/>
    <w:multiLevelType w:val="hybridMultilevel"/>
    <w:tmpl w:val="34AE846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32C5729A"/>
    <w:multiLevelType w:val="multilevel"/>
    <w:tmpl w:val="9850B9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056DCE"/>
    <w:multiLevelType w:val="hybridMultilevel"/>
    <w:tmpl w:val="3626B08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92159D"/>
    <w:multiLevelType w:val="hybridMultilevel"/>
    <w:tmpl w:val="C52E2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B40688"/>
    <w:multiLevelType w:val="multilevel"/>
    <w:tmpl w:val="8102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06B6C"/>
    <w:multiLevelType w:val="hybridMultilevel"/>
    <w:tmpl w:val="C6EE1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40225B"/>
    <w:multiLevelType w:val="hybridMultilevel"/>
    <w:tmpl w:val="A5B46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1554EB"/>
    <w:multiLevelType w:val="multilevel"/>
    <w:tmpl w:val="17A2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6582E"/>
    <w:multiLevelType w:val="hybridMultilevel"/>
    <w:tmpl w:val="C2245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07B4E"/>
    <w:multiLevelType w:val="multilevel"/>
    <w:tmpl w:val="630C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BF31FB"/>
    <w:multiLevelType w:val="hybridMultilevel"/>
    <w:tmpl w:val="7396D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964252"/>
    <w:multiLevelType w:val="hybridMultilevel"/>
    <w:tmpl w:val="F0F6C35C"/>
    <w:lvl w:ilvl="0" w:tplc="54A00AEA">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C2643D"/>
    <w:multiLevelType w:val="multilevel"/>
    <w:tmpl w:val="7F60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0F657C"/>
    <w:multiLevelType w:val="hybridMultilevel"/>
    <w:tmpl w:val="25FED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506C19"/>
    <w:multiLevelType w:val="hybridMultilevel"/>
    <w:tmpl w:val="8E526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811681"/>
    <w:multiLevelType w:val="hybridMultilevel"/>
    <w:tmpl w:val="2350F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49583123">
    <w:abstractNumId w:val="4"/>
  </w:num>
  <w:num w:numId="2" w16cid:durableId="1788700556">
    <w:abstractNumId w:val="9"/>
  </w:num>
  <w:num w:numId="3" w16cid:durableId="1338339597">
    <w:abstractNumId w:val="17"/>
  </w:num>
  <w:num w:numId="4" w16cid:durableId="16618898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6635506">
    <w:abstractNumId w:val="5"/>
  </w:num>
  <w:num w:numId="6" w16cid:durableId="1410955949">
    <w:abstractNumId w:val="13"/>
  </w:num>
  <w:num w:numId="7" w16cid:durableId="1862158267">
    <w:abstractNumId w:val="6"/>
  </w:num>
  <w:num w:numId="8" w16cid:durableId="1741489086">
    <w:abstractNumId w:val="14"/>
  </w:num>
  <w:num w:numId="9" w16cid:durableId="1726291927">
    <w:abstractNumId w:val="11"/>
  </w:num>
  <w:num w:numId="10" w16cid:durableId="113181096">
    <w:abstractNumId w:val="10"/>
  </w:num>
  <w:num w:numId="11" w16cid:durableId="569921586">
    <w:abstractNumId w:val="2"/>
  </w:num>
  <w:num w:numId="12" w16cid:durableId="391315609">
    <w:abstractNumId w:val="7"/>
  </w:num>
  <w:num w:numId="13" w16cid:durableId="1431582455">
    <w:abstractNumId w:val="19"/>
  </w:num>
  <w:num w:numId="14" w16cid:durableId="1679769070">
    <w:abstractNumId w:val="1"/>
  </w:num>
  <w:num w:numId="15" w16cid:durableId="1610821643">
    <w:abstractNumId w:val="0"/>
  </w:num>
  <w:num w:numId="16" w16cid:durableId="451020021">
    <w:abstractNumId w:val="15"/>
  </w:num>
  <w:num w:numId="17" w16cid:durableId="1237591274">
    <w:abstractNumId w:val="21"/>
  </w:num>
  <w:num w:numId="18" w16cid:durableId="821197423">
    <w:abstractNumId w:val="20"/>
  </w:num>
  <w:num w:numId="19" w16cid:durableId="1233345561">
    <w:abstractNumId w:val="25"/>
  </w:num>
  <w:num w:numId="20" w16cid:durableId="1635022390">
    <w:abstractNumId w:val="12"/>
  </w:num>
  <w:num w:numId="21" w16cid:durableId="788550641">
    <w:abstractNumId w:val="26"/>
  </w:num>
  <w:num w:numId="22" w16cid:durableId="1775589615">
    <w:abstractNumId w:val="8"/>
  </w:num>
  <w:num w:numId="23" w16cid:durableId="960694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103511">
    <w:abstractNumId w:val="18"/>
  </w:num>
  <w:num w:numId="25" w16cid:durableId="715854795">
    <w:abstractNumId w:val="3"/>
  </w:num>
  <w:num w:numId="26" w16cid:durableId="1520509018">
    <w:abstractNumId w:val="23"/>
  </w:num>
  <w:num w:numId="27" w16cid:durableId="2011448710">
    <w:abstractNumId w:val="24"/>
  </w:num>
  <w:num w:numId="28" w16cid:durableId="1760590567">
    <w:abstractNumId w:val="16"/>
  </w:num>
  <w:num w:numId="29" w16cid:durableId="14317058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764"/>
    <w:rsid w:val="00005B05"/>
    <w:rsid w:val="0001007F"/>
    <w:rsid w:val="00011A86"/>
    <w:rsid w:val="00044D02"/>
    <w:rsid w:val="00046C02"/>
    <w:rsid w:val="00051581"/>
    <w:rsid w:val="00073783"/>
    <w:rsid w:val="00085BF0"/>
    <w:rsid w:val="000A0546"/>
    <w:rsid w:val="000A10AC"/>
    <w:rsid w:val="000A4AD1"/>
    <w:rsid w:val="000C4BBB"/>
    <w:rsid w:val="000E370F"/>
    <w:rsid w:val="00137477"/>
    <w:rsid w:val="0014208E"/>
    <w:rsid w:val="001626AE"/>
    <w:rsid w:val="001724E9"/>
    <w:rsid w:val="001746E1"/>
    <w:rsid w:val="001A7726"/>
    <w:rsid w:val="001B4329"/>
    <w:rsid w:val="001C7C2C"/>
    <w:rsid w:val="001D2F99"/>
    <w:rsid w:val="001D34D8"/>
    <w:rsid w:val="00205D49"/>
    <w:rsid w:val="00212E64"/>
    <w:rsid w:val="00217EBF"/>
    <w:rsid w:val="00223BBC"/>
    <w:rsid w:val="00237C23"/>
    <w:rsid w:val="00247C47"/>
    <w:rsid w:val="00264552"/>
    <w:rsid w:val="0028338C"/>
    <w:rsid w:val="00285646"/>
    <w:rsid w:val="00285909"/>
    <w:rsid w:val="00295F6B"/>
    <w:rsid w:val="002968BC"/>
    <w:rsid w:val="00296CFD"/>
    <w:rsid w:val="002977DB"/>
    <w:rsid w:val="002A1085"/>
    <w:rsid w:val="002A15FB"/>
    <w:rsid w:val="002A3C44"/>
    <w:rsid w:val="002C2864"/>
    <w:rsid w:val="002F0720"/>
    <w:rsid w:val="002F3C87"/>
    <w:rsid w:val="002F7D5A"/>
    <w:rsid w:val="00315CA6"/>
    <w:rsid w:val="00317FF1"/>
    <w:rsid w:val="003227BE"/>
    <w:rsid w:val="00330FDF"/>
    <w:rsid w:val="00332D36"/>
    <w:rsid w:val="00340053"/>
    <w:rsid w:val="00340D3F"/>
    <w:rsid w:val="00357383"/>
    <w:rsid w:val="0037326D"/>
    <w:rsid w:val="00380FF2"/>
    <w:rsid w:val="003827D8"/>
    <w:rsid w:val="00386347"/>
    <w:rsid w:val="003968D2"/>
    <w:rsid w:val="0039747F"/>
    <w:rsid w:val="003A46EC"/>
    <w:rsid w:val="003B7EE3"/>
    <w:rsid w:val="003D339A"/>
    <w:rsid w:val="003D773D"/>
    <w:rsid w:val="003E6EE5"/>
    <w:rsid w:val="00404E28"/>
    <w:rsid w:val="004340DE"/>
    <w:rsid w:val="00456367"/>
    <w:rsid w:val="00460120"/>
    <w:rsid w:val="00471BA0"/>
    <w:rsid w:val="00472163"/>
    <w:rsid w:val="0049529D"/>
    <w:rsid w:val="004A7BEA"/>
    <w:rsid w:val="004B0FFF"/>
    <w:rsid w:val="004C191F"/>
    <w:rsid w:val="004C6724"/>
    <w:rsid w:val="004C71C4"/>
    <w:rsid w:val="004E50FC"/>
    <w:rsid w:val="00521B58"/>
    <w:rsid w:val="00552488"/>
    <w:rsid w:val="00553B0F"/>
    <w:rsid w:val="00560272"/>
    <w:rsid w:val="0056702E"/>
    <w:rsid w:val="00573C30"/>
    <w:rsid w:val="00587E3B"/>
    <w:rsid w:val="00592C04"/>
    <w:rsid w:val="00595B89"/>
    <w:rsid w:val="005A20FB"/>
    <w:rsid w:val="005B30CA"/>
    <w:rsid w:val="005B6CCD"/>
    <w:rsid w:val="005D49A8"/>
    <w:rsid w:val="005E1755"/>
    <w:rsid w:val="005E2CF2"/>
    <w:rsid w:val="005E3451"/>
    <w:rsid w:val="0060109D"/>
    <w:rsid w:val="00605501"/>
    <w:rsid w:val="0061074F"/>
    <w:rsid w:val="0061751A"/>
    <w:rsid w:val="00621E89"/>
    <w:rsid w:val="00622728"/>
    <w:rsid w:val="0064607E"/>
    <w:rsid w:val="00656470"/>
    <w:rsid w:val="00666F65"/>
    <w:rsid w:val="00674C1D"/>
    <w:rsid w:val="00677532"/>
    <w:rsid w:val="006B3F25"/>
    <w:rsid w:val="006D5896"/>
    <w:rsid w:val="006F20F8"/>
    <w:rsid w:val="006F7975"/>
    <w:rsid w:val="007005D2"/>
    <w:rsid w:val="0070495F"/>
    <w:rsid w:val="00705D13"/>
    <w:rsid w:val="0072008B"/>
    <w:rsid w:val="007503F8"/>
    <w:rsid w:val="0077721F"/>
    <w:rsid w:val="0078248D"/>
    <w:rsid w:val="007A258D"/>
    <w:rsid w:val="007A29D6"/>
    <w:rsid w:val="007A6C70"/>
    <w:rsid w:val="007C70C3"/>
    <w:rsid w:val="007D481C"/>
    <w:rsid w:val="007D52EE"/>
    <w:rsid w:val="007E3B7C"/>
    <w:rsid w:val="007F7866"/>
    <w:rsid w:val="00807485"/>
    <w:rsid w:val="00830CB0"/>
    <w:rsid w:val="00833E98"/>
    <w:rsid w:val="00841DB7"/>
    <w:rsid w:val="00863850"/>
    <w:rsid w:val="008935E1"/>
    <w:rsid w:val="008B22BD"/>
    <w:rsid w:val="008B575A"/>
    <w:rsid w:val="008F0F18"/>
    <w:rsid w:val="008F1942"/>
    <w:rsid w:val="009006F4"/>
    <w:rsid w:val="00900C16"/>
    <w:rsid w:val="0091600A"/>
    <w:rsid w:val="00923D0D"/>
    <w:rsid w:val="00951549"/>
    <w:rsid w:val="00954E36"/>
    <w:rsid w:val="00962736"/>
    <w:rsid w:val="00962B01"/>
    <w:rsid w:val="009826C4"/>
    <w:rsid w:val="0098429E"/>
    <w:rsid w:val="009B48EB"/>
    <w:rsid w:val="009E6D09"/>
    <w:rsid w:val="009F2063"/>
    <w:rsid w:val="009F29BB"/>
    <w:rsid w:val="009F3067"/>
    <w:rsid w:val="009F6818"/>
    <w:rsid w:val="00A119EA"/>
    <w:rsid w:val="00A1205B"/>
    <w:rsid w:val="00A172BB"/>
    <w:rsid w:val="00A17E67"/>
    <w:rsid w:val="00A224B8"/>
    <w:rsid w:val="00A250AD"/>
    <w:rsid w:val="00A25D6D"/>
    <w:rsid w:val="00A4296E"/>
    <w:rsid w:val="00A6477A"/>
    <w:rsid w:val="00A65275"/>
    <w:rsid w:val="00A91CC2"/>
    <w:rsid w:val="00AB04F3"/>
    <w:rsid w:val="00AB593C"/>
    <w:rsid w:val="00AC13B4"/>
    <w:rsid w:val="00AD60DA"/>
    <w:rsid w:val="00AE26BD"/>
    <w:rsid w:val="00AE4AC1"/>
    <w:rsid w:val="00AE52D3"/>
    <w:rsid w:val="00B23446"/>
    <w:rsid w:val="00B2531D"/>
    <w:rsid w:val="00B37054"/>
    <w:rsid w:val="00B44764"/>
    <w:rsid w:val="00B64448"/>
    <w:rsid w:val="00B7051E"/>
    <w:rsid w:val="00B8071C"/>
    <w:rsid w:val="00BA2960"/>
    <w:rsid w:val="00BA76A2"/>
    <w:rsid w:val="00BC1467"/>
    <w:rsid w:val="00BC27A7"/>
    <w:rsid w:val="00BC4027"/>
    <w:rsid w:val="00BD1133"/>
    <w:rsid w:val="00BE0E30"/>
    <w:rsid w:val="00C008AF"/>
    <w:rsid w:val="00C30636"/>
    <w:rsid w:val="00C33E63"/>
    <w:rsid w:val="00C35F59"/>
    <w:rsid w:val="00C37BF8"/>
    <w:rsid w:val="00C41748"/>
    <w:rsid w:val="00C61447"/>
    <w:rsid w:val="00C90089"/>
    <w:rsid w:val="00CB21D4"/>
    <w:rsid w:val="00CD03E2"/>
    <w:rsid w:val="00CD45F0"/>
    <w:rsid w:val="00CD7140"/>
    <w:rsid w:val="00CE5DA2"/>
    <w:rsid w:val="00CF3017"/>
    <w:rsid w:val="00D07652"/>
    <w:rsid w:val="00D10B17"/>
    <w:rsid w:val="00D111BE"/>
    <w:rsid w:val="00D12FE4"/>
    <w:rsid w:val="00D41CF4"/>
    <w:rsid w:val="00D65CC7"/>
    <w:rsid w:val="00D86542"/>
    <w:rsid w:val="00D9698E"/>
    <w:rsid w:val="00DB0C80"/>
    <w:rsid w:val="00DB18F2"/>
    <w:rsid w:val="00DB4D57"/>
    <w:rsid w:val="00DB79B0"/>
    <w:rsid w:val="00DC08A3"/>
    <w:rsid w:val="00DC4769"/>
    <w:rsid w:val="00DD59B1"/>
    <w:rsid w:val="00DD6F00"/>
    <w:rsid w:val="00DD776F"/>
    <w:rsid w:val="00DE77F9"/>
    <w:rsid w:val="00DF4623"/>
    <w:rsid w:val="00E00CA0"/>
    <w:rsid w:val="00E01E4B"/>
    <w:rsid w:val="00E11429"/>
    <w:rsid w:val="00E22294"/>
    <w:rsid w:val="00E33F41"/>
    <w:rsid w:val="00E3479B"/>
    <w:rsid w:val="00E816AB"/>
    <w:rsid w:val="00EA7BF6"/>
    <w:rsid w:val="00EB4265"/>
    <w:rsid w:val="00EC47AC"/>
    <w:rsid w:val="00ED2BED"/>
    <w:rsid w:val="00ED7E8C"/>
    <w:rsid w:val="00EF3C17"/>
    <w:rsid w:val="00EF456C"/>
    <w:rsid w:val="00F10B9A"/>
    <w:rsid w:val="00F15C1A"/>
    <w:rsid w:val="00F264F4"/>
    <w:rsid w:val="00F37811"/>
    <w:rsid w:val="00F4218F"/>
    <w:rsid w:val="00F470C8"/>
    <w:rsid w:val="00F57540"/>
    <w:rsid w:val="00F8335F"/>
    <w:rsid w:val="00F83D29"/>
    <w:rsid w:val="00F93EDC"/>
    <w:rsid w:val="00FA0C9A"/>
    <w:rsid w:val="00FB1069"/>
    <w:rsid w:val="00FC4524"/>
    <w:rsid w:val="00FC5C20"/>
    <w:rsid w:val="00FC7B63"/>
    <w:rsid w:val="00FE08DE"/>
    <w:rsid w:val="00FE7A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5DA0"/>
  <w15:chartTrackingRefBased/>
  <w15:docId w15:val="{AC740F5C-2A2E-4388-B2DA-A405D740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C47"/>
    <w:pPr>
      <w:spacing w:before="240" w:after="240" w:line="240" w:lineRule="auto"/>
      <w:jc w:val="both"/>
    </w:pPr>
    <w:rPr>
      <w:rFonts w:ascii="Source Sans Pro" w:eastAsia="Times New Roman" w:hAnsi="Source Sans Pro" w:cstheme="majorHAnsi"/>
      <w:kern w:val="0"/>
      <w:sz w:val="24"/>
      <w:szCs w:val="24"/>
      <w:lang w:eastAsia="fr-FR"/>
      <w14:ligatures w14:val="none"/>
    </w:rPr>
  </w:style>
  <w:style w:type="paragraph" w:styleId="Titre1">
    <w:name w:val="heading 1"/>
    <w:basedOn w:val="Normal"/>
    <w:next w:val="Textbody"/>
    <w:link w:val="Titre1Car"/>
    <w:uiPriority w:val="9"/>
    <w:qFormat/>
    <w:rsid w:val="0061751A"/>
    <w:pPr>
      <w:keepNext/>
      <w:numPr>
        <w:numId w:val="1"/>
      </w:numPr>
      <w:ind w:left="431" w:hanging="431"/>
      <w:outlineLvl w:val="0"/>
    </w:pPr>
    <w:rPr>
      <w:rFonts w:eastAsia="Noto Sans CJK SC"/>
      <w:b/>
      <w:bCs/>
      <w:color w:val="000E9C"/>
      <w:sz w:val="28"/>
      <w:szCs w:val="28"/>
    </w:rPr>
  </w:style>
  <w:style w:type="paragraph" w:styleId="Titre2">
    <w:name w:val="heading 2"/>
    <w:basedOn w:val="Normal"/>
    <w:next w:val="Textbody"/>
    <w:link w:val="Titre2Car"/>
    <w:uiPriority w:val="9"/>
    <w:unhideWhenUsed/>
    <w:qFormat/>
    <w:rsid w:val="00553B0F"/>
    <w:pPr>
      <w:keepNext/>
      <w:numPr>
        <w:ilvl w:val="1"/>
        <w:numId w:val="1"/>
      </w:numPr>
      <w:spacing w:before="120" w:after="120"/>
      <w:ind w:left="862" w:hanging="578"/>
      <w:outlineLvl w:val="1"/>
    </w:pPr>
    <w:rPr>
      <w:rFonts w:eastAsia="Noto Sans CJK SC"/>
      <w:b/>
      <w:bCs/>
      <w:color w:val="000000"/>
      <w:sz w:val="28"/>
      <w:szCs w:val="28"/>
    </w:rPr>
  </w:style>
  <w:style w:type="paragraph" w:styleId="Titre3">
    <w:name w:val="heading 3"/>
    <w:basedOn w:val="Normal"/>
    <w:next w:val="Normal"/>
    <w:link w:val="Titre3Car"/>
    <w:uiPriority w:val="9"/>
    <w:unhideWhenUsed/>
    <w:qFormat/>
    <w:rsid w:val="00553B0F"/>
    <w:pPr>
      <w:keepNext/>
      <w:keepLines/>
      <w:numPr>
        <w:ilvl w:val="2"/>
        <w:numId w:val="1"/>
      </w:numPr>
      <w:spacing w:before="120" w:after="120"/>
      <w:ind w:left="1287"/>
      <w:outlineLvl w:val="2"/>
    </w:pPr>
    <w:rPr>
      <w:rFonts w:asciiTheme="majorHAnsi" w:eastAsiaTheme="majorEastAsia" w:hAnsiTheme="majorHAnsi" w:cs="Mangal"/>
      <w:b/>
      <w:color w:val="1F3763" w:themeColor="accent1" w:themeShade="7F"/>
      <w:szCs w:val="21"/>
    </w:rPr>
  </w:style>
  <w:style w:type="paragraph" w:styleId="Titre4">
    <w:name w:val="heading 4"/>
    <w:basedOn w:val="Normal"/>
    <w:next w:val="Normal"/>
    <w:link w:val="Titre4Car"/>
    <w:uiPriority w:val="9"/>
    <w:unhideWhenUsed/>
    <w:qFormat/>
    <w:rsid w:val="00553B0F"/>
    <w:pPr>
      <w:keepNext/>
      <w:keepLines/>
      <w:numPr>
        <w:ilvl w:val="3"/>
        <w:numId w:val="1"/>
      </w:numPr>
      <w:spacing w:before="120" w:after="120"/>
      <w:ind w:left="1713" w:hanging="862"/>
      <w:outlineLvl w:val="3"/>
    </w:pPr>
    <w:rPr>
      <w:rFonts w:asciiTheme="majorHAnsi" w:eastAsiaTheme="majorEastAsia" w:hAnsiTheme="majorHAnsi" w:cs="Mangal"/>
      <w:i/>
      <w:iCs/>
      <w:color w:val="2F5496" w:themeColor="accent1" w:themeShade="BF"/>
      <w:szCs w:val="21"/>
    </w:rPr>
  </w:style>
  <w:style w:type="paragraph" w:styleId="Titre5">
    <w:name w:val="heading 5"/>
    <w:basedOn w:val="Normal"/>
    <w:next w:val="Normal"/>
    <w:link w:val="Titre5Car"/>
    <w:uiPriority w:val="9"/>
    <w:semiHidden/>
    <w:unhideWhenUsed/>
    <w:qFormat/>
    <w:rsid w:val="00F93EDC"/>
    <w:pPr>
      <w:keepNext/>
      <w:keepLines/>
      <w:numPr>
        <w:ilvl w:val="4"/>
        <w:numId w:val="1"/>
      </w:numPr>
      <w:spacing w:before="40"/>
      <w:outlineLvl w:val="4"/>
    </w:pPr>
    <w:rPr>
      <w:rFonts w:asciiTheme="majorHAnsi" w:eastAsiaTheme="majorEastAsia" w:hAnsiTheme="majorHAnsi" w:cs="Mangal"/>
      <w:color w:val="2F5496" w:themeColor="accent1" w:themeShade="BF"/>
      <w:szCs w:val="21"/>
    </w:rPr>
  </w:style>
  <w:style w:type="paragraph" w:styleId="Titre6">
    <w:name w:val="heading 6"/>
    <w:basedOn w:val="Normal"/>
    <w:next w:val="Normal"/>
    <w:link w:val="Titre6Car"/>
    <w:uiPriority w:val="9"/>
    <w:semiHidden/>
    <w:unhideWhenUsed/>
    <w:qFormat/>
    <w:rsid w:val="00F93EDC"/>
    <w:pPr>
      <w:keepNext/>
      <w:keepLines/>
      <w:numPr>
        <w:ilvl w:val="5"/>
        <w:numId w:val="1"/>
      </w:numPr>
      <w:spacing w:before="40"/>
      <w:outlineLvl w:val="5"/>
    </w:pPr>
    <w:rPr>
      <w:rFonts w:asciiTheme="majorHAnsi" w:eastAsiaTheme="majorEastAsia" w:hAnsiTheme="majorHAnsi" w:cs="Mangal"/>
      <w:color w:val="1F3763" w:themeColor="accent1" w:themeShade="7F"/>
      <w:szCs w:val="21"/>
    </w:rPr>
  </w:style>
  <w:style w:type="paragraph" w:styleId="Titre7">
    <w:name w:val="heading 7"/>
    <w:basedOn w:val="Normal"/>
    <w:next w:val="Normal"/>
    <w:link w:val="Titre7Car"/>
    <w:uiPriority w:val="9"/>
    <w:semiHidden/>
    <w:unhideWhenUsed/>
    <w:qFormat/>
    <w:rsid w:val="00F93EDC"/>
    <w:pPr>
      <w:keepNext/>
      <w:keepLines/>
      <w:numPr>
        <w:ilvl w:val="6"/>
        <w:numId w:val="1"/>
      </w:numPr>
      <w:spacing w:before="40"/>
      <w:outlineLvl w:val="6"/>
    </w:pPr>
    <w:rPr>
      <w:rFonts w:asciiTheme="majorHAnsi" w:eastAsiaTheme="majorEastAsia" w:hAnsiTheme="majorHAnsi" w:cs="Mangal"/>
      <w:i/>
      <w:iCs/>
      <w:color w:val="1F3763" w:themeColor="accent1" w:themeShade="7F"/>
      <w:szCs w:val="21"/>
    </w:rPr>
  </w:style>
  <w:style w:type="paragraph" w:styleId="Titre8">
    <w:name w:val="heading 8"/>
    <w:basedOn w:val="Normal"/>
    <w:next w:val="Normal"/>
    <w:link w:val="Titre8Car"/>
    <w:uiPriority w:val="9"/>
    <w:semiHidden/>
    <w:unhideWhenUsed/>
    <w:qFormat/>
    <w:rsid w:val="00F93EDC"/>
    <w:pPr>
      <w:keepNext/>
      <w:keepLines/>
      <w:numPr>
        <w:ilvl w:val="7"/>
        <w:numId w:val="1"/>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F93EDC"/>
    <w:pPr>
      <w:keepNext/>
      <w:keepLines/>
      <w:numPr>
        <w:ilvl w:val="8"/>
        <w:numId w:val="1"/>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751A"/>
    <w:rPr>
      <w:rFonts w:ascii="Source Sans Pro" w:eastAsia="Noto Sans CJK SC" w:hAnsi="Source Sans Pro" w:cstheme="majorHAnsi"/>
      <w:b/>
      <w:bCs/>
      <w:color w:val="000E9C"/>
      <w:kern w:val="0"/>
      <w:sz w:val="28"/>
      <w:szCs w:val="28"/>
      <w:lang w:eastAsia="fr-FR"/>
      <w14:ligatures w14:val="none"/>
    </w:rPr>
  </w:style>
  <w:style w:type="character" w:customStyle="1" w:styleId="Titre2Car">
    <w:name w:val="Titre 2 Car"/>
    <w:basedOn w:val="Policepardfaut"/>
    <w:link w:val="Titre2"/>
    <w:uiPriority w:val="9"/>
    <w:rsid w:val="00553B0F"/>
    <w:rPr>
      <w:rFonts w:ascii="Source Sans Pro" w:eastAsia="Noto Sans CJK SC" w:hAnsi="Source Sans Pro" w:cstheme="majorHAnsi"/>
      <w:b/>
      <w:bCs/>
      <w:color w:val="000000"/>
      <w:kern w:val="0"/>
      <w:sz w:val="28"/>
      <w:szCs w:val="28"/>
      <w:lang w:eastAsia="fr-FR"/>
      <w14:ligatures w14:val="none"/>
    </w:rPr>
  </w:style>
  <w:style w:type="paragraph" w:customStyle="1" w:styleId="Standard">
    <w:name w:val="Standard"/>
    <w:rsid w:val="00833E98"/>
    <w:pPr>
      <w:suppressAutoHyphens/>
      <w:autoSpaceDN w:val="0"/>
      <w:spacing w:after="0" w:line="240" w:lineRule="auto"/>
      <w:textAlignment w:val="baseline"/>
    </w:pPr>
    <w:rPr>
      <w:rFonts w:ascii="Source Sans Pro" w:eastAsia="Source Sans Pro" w:hAnsi="Source Sans Pro" w:cs="Source Sans Pro"/>
      <w:kern w:val="3"/>
      <w:sz w:val="24"/>
      <w:szCs w:val="24"/>
      <w:lang w:eastAsia="zh-CN" w:bidi="hi-IN"/>
      <w14:ligatures w14:val="none"/>
    </w:rPr>
  </w:style>
  <w:style w:type="paragraph" w:customStyle="1" w:styleId="Textbody">
    <w:name w:val="Text body"/>
    <w:basedOn w:val="Standard"/>
    <w:rsid w:val="00833E98"/>
    <w:pPr>
      <w:spacing w:after="140" w:line="276" w:lineRule="auto"/>
    </w:pPr>
  </w:style>
  <w:style w:type="paragraph" w:styleId="En-tte">
    <w:name w:val="header"/>
    <w:basedOn w:val="Normal"/>
    <w:link w:val="En-tteCar"/>
    <w:rsid w:val="00833E98"/>
    <w:pPr>
      <w:suppressLineNumbers/>
      <w:tabs>
        <w:tab w:val="center" w:pos="4819"/>
        <w:tab w:val="right" w:pos="9638"/>
      </w:tabs>
    </w:pPr>
    <w:rPr>
      <w:rFonts w:eastAsia="Source Sans Pro" w:cs="Source Sans Pro"/>
      <w:color w:val="000E9C"/>
    </w:rPr>
  </w:style>
  <w:style w:type="character" w:customStyle="1" w:styleId="En-tteCar">
    <w:name w:val="En-tête Car"/>
    <w:basedOn w:val="Policepardfaut"/>
    <w:link w:val="En-tte"/>
    <w:rsid w:val="00833E98"/>
    <w:rPr>
      <w:rFonts w:ascii="Source Sans Pro" w:eastAsia="Source Sans Pro" w:hAnsi="Source Sans Pro" w:cs="Source Sans Pro"/>
      <w:color w:val="000E9C"/>
      <w:kern w:val="3"/>
      <w:sz w:val="24"/>
      <w:szCs w:val="24"/>
      <w:lang w:eastAsia="zh-CN" w:bidi="hi-IN"/>
      <w14:ligatures w14:val="none"/>
    </w:rPr>
  </w:style>
  <w:style w:type="paragraph" w:styleId="Pieddepage">
    <w:name w:val="footer"/>
    <w:basedOn w:val="Normal"/>
    <w:link w:val="PieddepageCar"/>
    <w:rsid w:val="00833E98"/>
    <w:pPr>
      <w:suppressLineNumbers/>
      <w:tabs>
        <w:tab w:val="center" w:pos="4819"/>
        <w:tab w:val="right" w:pos="9638"/>
      </w:tabs>
    </w:pPr>
    <w:rPr>
      <w:rFonts w:eastAsia="Source Sans Pro" w:cs="Source Sans Pro"/>
      <w:color w:val="000E9C"/>
    </w:rPr>
  </w:style>
  <w:style w:type="character" w:customStyle="1" w:styleId="PieddepageCar">
    <w:name w:val="Pied de page Car"/>
    <w:basedOn w:val="Policepardfaut"/>
    <w:link w:val="Pieddepage"/>
    <w:rsid w:val="00833E98"/>
    <w:rPr>
      <w:rFonts w:ascii="Source Sans Pro" w:eastAsia="Source Sans Pro" w:hAnsi="Source Sans Pro" w:cs="Source Sans Pro"/>
      <w:color w:val="000E9C"/>
      <w:kern w:val="3"/>
      <w:sz w:val="24"/>
      <w:szCs w:val="24"/>
      <w:lang w:eastAsia="zh-CN" w:bidi="hi-IN"/>
      <w14:ligatures w14:val="none"/>
    </w:rPr>
  </w:style>
  <w:style w:type="paragraph" w:customStyle="1" w:styleId="ContentsHeading">
    <w:name w:val="Contents Heading"/>
    <w:basedOn w:val="Titreindex"/>
    <w:autoRedefine/>
    <w:rsid w:val="00315CA6"/>
    <w:pPr>
      <w:keepNext/>
      <w:framePr w:hSpace="141" w:wrap="around" w:vAnchor="text" w:hAnchor="margin" w:xAlign="center" w:y="-77"/>
      <w:suppressLineNumbers/>
      <w:spacing w:before="0" w:after="0"/>
      <w:jc w:val="center"/>
    </w:pPr>
    <w:rPr>
      <w:rFonts w:ascii="Source Sans Pro" w:eastAsia="Noto Sans CJK SC" w:hAnsi="Source Sans Pro" w:cs="Lohit Devanagari"/>
      <w:b w:val="0"/>
      <w:color w:val="000E9C"/>
      <w:sz w:val="28"/>
      <w:szCs w:val="32"/>
    </w:rPr>
  </w:style>
  <w:style w:type="paragraph" w:customStyle="1" w:styleId="TableContents">
    <w:name w:val="Table Contents"/>
    <w:basedOn w:val="Standard"/>
    <w:rsid w:val="00F264F4"/>
    <w:pPr>
      <w:suppressLineNumbers/>
    </w:pPr>
  </w:style>
  <w:style w:type="paragraph" w:customStyle="1" w:styleId="TableHeading">
    <w:name w:val="Table Heading"/>
    <w:basedOn w:val="TableContents"/>
    <w:rsid w:val="00833E98"/>
    <w:pPr>
      <w:jc w:val="center"/>
    </w:pPr>
    <w:rPr>
      <w:rFonts w:ascii="Source Sans Pro Black" w:eastAsia="Source Sans Pro Black" w:hAnsi="Source Sans Pro Black" w:cs="Source Sans Pro Black"/>
      <w:b/>
      <w:bCs/>
      <w:i/>
      <w:color w:val="FFFFFF"/>
    </w:rPr>
  </w:style>
  <w:style w:type="paragraph" w:customStyle="1" w:styleId="Contents1">
    <w:name w:val="Contents 1"/>
    <w:basedOn w:val="Normal"/>
    <w:rsid w:val="00F4218F"/>
    <w:pPr>
      <w:suppressLineNumbers/>
      <w:tabs>
        <w:tab w:val="right" w:leader="dot" w:pos="9638"/>
      </w:tabs>
      <w:spacing w:before="0" w:after="0"/>
      <w:jc w:val="center"/>
    </w:pPr>
    <w:rPr>
      <w:rFonts w:eastAsia="Source Sans Pro"/>
    </w:rPr>
  </w:style>
  <w:style w:type="paragraph" w:customStyle="1" w:styleId="Contents2">
    <w:name w:val="Contents 2"/>
    <w:basedOn w:val="Normal"/>
    <w:rsid w:val="00F4218F"/>
    <w:pPr>
      <w:suppressLineNumbers/>
      <w:tabs>
        <w:tab w:val="right" w:leader="dot" w:pos="9638"/>
      </w:tabs>
      <w:spacing w:before="0" w:after="0"/>
    </w:pPr>
    <w:rPr>
      <w:rFonts w:eastAsia="Source Sans Pro"/>
    </w:rPr>
  </w:style>
  <w:style w:type="paragraph" w:styleId="Index1">
    <w:name w:val="index 1"/>
    <w:basedOn w:val="Normal"/>
    <w:next w:val="Normal"/>
    <w:autoRedefine/>
    <w:uiPriority w:val="99"/>
    <w:semiHidden/>
    <w:unhideWhenUsed/>
    <w:rsid w:val="00833E98"/>
    <w:pPr>
      <w:ind w:left="240" w:hanging="240"/>
    </w:pPr>
    <w:rPr>
      <w:rFonts w:cs="Mangal"/>
      <w:szCs w:val="21"/>
    </w:rPr>
  </w:style>
  <w:style w:type="paragraph" w:styleId="Titreindex">
    <w:name w:val="index heading"/>
    <w:basedOn w:val="Normal"/>
    <w:next w:val="Index1"/>
    <w:uiPriority w:val="99"/>
    <w:semiHidden/>
    <w:unhideWhenUsed/>
    <w:rsid w:val="00833E98"/>
    <w:rPr>
      <w:rFonts w:asciiTheme="majorHAnsi" w:eastAsiaTheme="majorEastAsia" w:hAnsiTheme="majorHAnsi" w:cs="Mangal"/>
      <w:b/>
      <w:bCs/>
      <w:szCs w:val="21"/>
    </w:rPr>
  </w:style>
  <w:style w:type="character" w:customStyle="1" w:styleId="Titre3Car">
    <w:name w:val="Titre 3 Car"/>
    <w:basedOn w:val="Policepardfaut"/>
    <w:link w:val="Titre3"/>
    <w:uiPriority w:val="9"/>
    <w:rsid w:val="00553B0F"/>
    <w:rPr>
      <w:rFonts w:asciiTheme="majorHAnsi" w:eastAsiaTheme="majorEastAsia" w:hAnsiTheme="majorHAnsi" w:cs="Mangal"/>
      <w:b/>
      <w:color w:val="1F3763" w:themeColor="accent1" w:themeShade="7F"/>
      <w:kern w:val="0"/>
      <w:sz w:val="24"/>
      <w:szCs w:val="21"/>
      <w:lang w:eastAsia="fr-FR"/>
      <w14:ligatures w14:val="none"/>
    </w:rPr>
  </w:style>
  <w:style w:type="character" w:customStyle="1" w:styleId="Titre4Car">
    <w:name w:val="Titre 4 Car"/>
    <w:basedOn w:val="Policepardfaut"/>
    <w:link w:val="Titre4"/>
    <w:uiPriority w:val="9"/>
    <w:rsid w:val="00553B0F"/>
    <w:rPr>
      <w:rFonts w:asciiTheme="majorHAnsi" w:eastAsiaTheme="majorEastAsia" w:hAnsiTheme="majorHAnsi" w:cs="Mangal"/>
      <w:i/>
      <w:iCs/>
      <w:color w:val="2F5496" w:themeColor="accent1" w:themeShade="BF"/>
      <w:kern w:val="0"/>
      <w:sz w:val="24"/>
      <w:szCs w:val="21"/>
      <w:lang w:eastAsia="fr-FR"/>
      <w14:ligatures w14:val="none"/>
    </w:rPr>
  </w:style>
  <w:style w:type="character" w:customStyle="1" w:styleId="Titre5Car">
    <w:name w:val="Titre 5 Car"/>
    <w:basedOn w:val="Policepardfaut"/>
    <w:link w:val="Titre5"/>
    <w:uiPriority w:val="9"/>
    <w:semiHidden/>
    <w:rsid w:val="00F93EDC"/>
    <w:rPr>
      <w:rFonts w:asciiTheme="majorHAnsi" w:eastAsiaTheme="majorEastAsia" w:hAnsiTheme="majorHAnsi" w:cs="Mangal"/>
      <w:color w:val="2F5496" w:themeColor="accent1" w:themeShade="BF"/>
      <w:kern w:val="3"/>
      <w:sz w:val="24"/>
      <w:szCs w:val="21"/>
      <w:lang w:eastAsia="zh-CN" w:bidi="hi-IN"/>
      <w14:ligatures w14:val="none"/>
    </w:rPr>
  </w:style>
  <w:style w:type="character" w:customStyle="1" w:styleId="Titre6Car">
    <w:name w:val="Titre 6 Car"/>
    <w:basedOn w:val="Policepardfaut"/>
    <w:link w:val="Titre6"/>
    <w:uiPriority w:val="9"/>
    <w:semiHidden/>
    <w:rsid w:val="00F93EDC"/>
    <w:rPr>
      <w:rFonts w:asciiTheme="majorHAnsi" w:eastAsiaTheme="majorEastAsia" w:hAnsiTheme="majorHAnsi" w:cs="Mangal"/>
      <w:color w:val="1F3763" w:themeColor="accent1" w:themeShade="7F"/>
      <w:kern w:val="3"/>
      <w:sz w:val="24"/>
      <w:szCs w:val="21"/>
      <w:lang w:eastAsia="zh-CN" w:bidi="hi-IN"/>
      <w14:ligatures w14:val="none"/>
    </w:rPr>
  </w:style>
  <w:style w:type="character" w:customStyle="1" w:styleId="Titre7Car">
    <w:name w:val="Titre 7 Car"/>
    <w:basedOn w:val="Policepardfaut"/>
    <w:link w:val="Titre7"/>
    <w:uiPriority w:val="9"/>
    <w:semiHidden/>
    <w:rsid w:val="00F93EDC"/>
    <w:rPr>
      <w:rFonts w:asciiTheme="majorHAnsi" w:eastAsiaTheme="majorEastAsia" w:hAnsiTheme="majorHAnsi" w:cs="Mangal"/>
      <w:i/>
      <w:iCs/>
      <w:color w:val="1F3763" w:themeColor="accent1" w:themeShade="7F"/>
      <w:kern w:val="3"/>
      <w:sz w:val="24"/>
      <w:szCs w:val="21"/>
      <w:lang w:eastAsia="zh-CN" w:bidi="hi-IN"/>
      <w14:ligatures w14:val="none"/>
    </w:rPr>
  </w:style>
  <w:style w:type="character" w:customStyle="1" w:styleId="Titre8Car">
    <w:name w:val="Titre 8 Car"/>
    <w:basedOn w:val="Policepardfaut"/>
    <w:link w:val="Titre8"/>
    <w:uiPriority w:val="9"/>
    <w:semiHidden/>
    <w:rsid w:val="00F93EDC"/>
    <w:rPr>
      <w:rFonts w:asciiTheme="majorHAnsi" w:eastAsiaTheme="majorEastAsia" w:hAnsiTheme="majorHAnsi" w:cs="Mangal"/>
      <w:color w:val="272727" w:themeColor="text1" w:themeTint="D8"/>
      <w:kern w:val="3"/>
      <w:sz w:val="21"/>
      <w:szCs w:val="19"/>
      <w:lang w:eastAsia="zh-CN" w:bidi="hi-IN"/>
      <w14:ligatures w14:val="none"/>
    </w:rPr>
  </w:style>
  <w:style w:type="character" w:customStyle="1" w:styleId="Titre9Car">
    <w:name w:val="Titre 9 Car"/>
    <w:basedOn w:val="Policepardfaut"/>
    <w:link w:val="Titre9"/>
    <w:uiPriority w:val="9"/>
    <w:semiHidden/>
    <w:rsid w:val="00F93EDC"/>
    <w:rPr>
      <w:rFonts w:asciiTheme="majorHAnsi" w:eastAsiaTheme="majorEastAsia" w:hAnsiTheme="majorHAnsi" w:cs="Mangal"/>
      <w:i/>
      <w:iCs/>
      <w:color w:val="272727" w:themeColor="text1" w:themeTint="D8"/>
      <w:kern w:val="3"/>
      <w:sz w:val="21"/>
      <w:szCs w:val="19"/>
      <w:lang w:eastAsia="zh-CN" w:bidi="hi-IN"/>
      <w14:ligatures w14:val="none"/>
    </w:rPr>
  </w:style>
  <w:style w:type="paragraph" w:styleId="Paragraphedeliste">
    <w:name w:val="List Paragraph"/>
    <w:basedOn w:val="Normal"/>
    <w:uiPriority w:val="34"/>
    <w:qFormat/>
    <w:rsid w:val="00E3479B"/>
    <w:pPr>
      <w:ind w:left="720"/>
      <w:contextualSpacing/>
    </w:pPr>
    <w:rPr>
      <w:rFonts w:cs="Mangal"/>
      <w:szCs w:val="21"/>
    </w:rPr>
  </w:style>
  <w:style w:type="character" w:styleId="Marquedecommentaire">
    <w:name w:val="annotation reference"/>
    <w:basedOn w:val="Policepardfaut"/>
    <w:uiPriority w:val="99"/>
    <w:semiHidden/>
    <w:unhideWhenUsed/>
    <w:rsid w:val="00E3479B"/>
    <w:rPr>
      <w:sz w:val="16"/>
      <w:szCs w:val="16"/>
    </w:rPr>
  </w:style>
  <w:style w:type="paragraph" w:styleId="Commentaire">
    <w:name w:val="annotation text"/>
    <w:basedOn w:val="Normal"/>
    <w:link w:val="CommentaireCar"/>
    <w:uiPriority w:val="99"/>
    <w:semiHidden/>
    <w:unhideWhenUsed/>
    <w:rsid w:val="00E3479B"/>
    <w:rPr>
      <w:rFonts w:cs="Mangal"/>
      <w:sz w:val="20"/>
      <w:szCs w:val="18"/>
    </w:rPr>
  </w:style>
  <w:style w:type="character" w:customStyle="1" w:styleId="CommentaireCar">
    <w:name w:val="Commentaire Car"/>
    <w:basedOn w:val="Policepardfaut"/>
    <w:link w:val="Commentaire"/>
    <w:uiPriority w:val="99"/>
    <w:semiHidden/>
    <w:rsid w:val="00E3479B"/>
    <w:rPr>
      <w:rFonts w:ascii="Liberation Serif" w:eastAsia="Noto Serif CJK SC" w:hAnsi="Liberation Serif" w:cs="Mangal"/>
      <w:kern w:val="3"/>
      <w:sz w:val="20"/>
      <w:szCs w:val="18"/>
      <w:lang w:eastAsia="zh-CN" w:bidi="hi-IN"/>
      <w14:ligatures w14:val="none"/>
    </w:rPr>
  </w:style>
  <w:style w:type="paragraph" w:styleId="Objetducommentaire">
    <w:name w:val="annotation subject"/>
    <w:basedOn w:val="Commentaire"/>
    <w:next w:val="Commentaire"/>
    <w:link w:val="ObjetducommentaireCar"/>
    <w:uiPriority w:val="99"/>
    <w:semiHidden/>
    <w:unhideWhenUsed/>
    <w:rsid w:val="00E3479B"/>
    <w:rPr>
      <w:b/>
      <w:bCs/>
    </w:rPr>
  </w:style>
  <w:style w:type="character" w:customStyle="1" w:styleId="ObjetducommentaireCar">
    <w:name w:val="Objet du commentaire Car"/>
    <w:basedOn w:val="CommentaireCar"/>
    <w:link w:val="Objetducommentaire"/>
    <w:uiPriority w:val="99"/>
    <w:semiHidden/>
    <w:rsid w:val="00E3479B"/>
    <w:rPr>
      <w:rFonts w:ascii="Liberation Serif" w:eastAsia="Noto Serif CJK SC" w:hAnsi="Liberation Serif" w:cs="Mangal"/>
      <w:b/>
      <w:bCs/>
      <w:kern w:val="3"/>
      <w:sz w:val="20"/>
      <w:szCs w:val="18"/>
      <w:lang w:eastAsia="zh-CN" w:bidi="hi-IN"/>
      <w14:ligatures w14:val="none"/>
    </w:rPr>
  </w:style>
  <w:style w:type="character" w:styleId="Numrodepage">
    <w:name w:val="page number"/>
    <w:basedOn w:val="Policepardfaut"/>
    <w:uiPriority w:val="99"/>
    <w:semiHidden/>
    <w:unhideWhenUsed/>
    <w:rsid w:val="00340053"/>
  </w:style>
  <w:style w:type="table" w:styleId="Grilledutableau">
    <w:name w:val="Table Grid"/>
    <w:basedOn w:val="TableauNormal"/>
    <w:uiPriority w:val="39"/>
    <w:rsid w:val="0033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A3C44"/>
    <w:rPr>
      <w:color w:val="0563C1" w:themeColor="hyperlink"/>
      <w:u w:val="single"/>
    </w:rPr>
  </w:style>
  <w:style w:type="character" w:styleId="Mentionnonrsolue">
    <w:name w:val="Unresolved Mention"/>
    <w:basedOn w:val="Policepardfaut"/>
    <w:uiPriority w:val="99"/>
    <w:semiHidden/>
    <w:unhideWhenUsed/>
    <w:rsid w:val="002A3C44"/>
    <w:rPr>
      <w:color w:val="605E5C"/>
      <w:shd w:val="clear" w:color="auto" w:fill="E1DFDD"/>
    </w:rPr>
  </w:style>
  <w:style w:type="paragraph" w:styleId="Lgende">
    <w:name w:val="caption"/>
    <w:basedOn w:val="Normal"/>
    <w:next w:val="Normal"/>
    <w:uiPriority w:val="35"/>
    <w:unhideWhenUsed/>
    <w:qFormat/>
    <w:rsid w:val="00C37BF8"/>
    <w:pPr>
      <w:spacing w:before="0" w:after="200"/>
      <w:jc w:val="center"/>
    </w:pPr>
    <w:rPr>
      <w:rFonts w:cs="Mangal"/>
      <w:i/>
      <w:iCs/>
      <w:color w:val="44546A" w:themeColor="text2"/>
      <w:sz w:val="18"/>
      <w:szCs w:val="16"/>
    </w:rPr>
  </w:style>
  <w:style w:type="paragraph" w:styleId="TM1">
    <w:name w:val="toc 1"/>
    <w:basedOn w:val="Normal"/>
    <w:next w:val="Normal"/>
    <w:autoRedefine/>
    <w:uiPriority w:val="39"/>
    <w:unhideWhenUsed/>
    <w:rsid w:val="00BA76A2"/>
    <w:pPr>
      <w:tabs>
        <w:tab w:val="right" w:leader="dot" w:pos="9628"/>
      </w:tabs>
      <w:spacing w:before="120" w:after="0"/>
      <w:jc w:val="left"/>
    </w:pPr>
    <w:rPr>
      <w:rFonts w:asciiTheme="minorHAnsi" w:hAnsiTheme="minorHAnsi" w:cstheme="minorHAnsi"/>
      <w:b/>
      <w:bCs/>
      <w:i/>
      <w:iCs/>
    </w:rPr>
  </w:style>
  <w:style w:type="paragraph" w:styleId="TM2">
    <w:name w:val="toc 2"/>
    <w:basedOn w:val="Normal"/>
    <w:next w:val="Normal"/>
    <w:autoRedefine/>
    <w:uiPriority w:val="39"/>
    <w:unhideWhenUsed/>
    <w:rsid w:val="00C37BF8"/>
    <w:pPr>
      <w:spacing w:before="120" w:after="0"/>
      <w:ind w:left="240"/>
      <w:jc w:val="left"/>
    </w:pPr>
    <w:rPr>
      <w:rFonts w:asciiTheme="minorHAnsi" w:hAnsiTheme="minorHAnsi" w:cstheme="minorHAnsi"/>
      <w:b/>
      <w:bCs/>
      <w:sz w:val="22"/>
      <w:szCs w:val="22"/>
    </w:rPr>
  </w:style>
  <w:style w:type="paragraph" w:styleId="En-ttedetabledesmatires">
    <w:name w:val="TOC Heading"/>
    <w:aliases w:val="En-tête de table"/>
    <w:basedOn w:val="Titre1"/>
    <w:next w:val="Normal"/>
    <w:uiPriority w:val="39"/>
    <w:unhideWhenUsed/>
    <w:qFormat/>
    <w:rsid w:val="0061751A"/>
    <w:pPr>
      <w:keepLines/>
      <w:numPr>
        <w:numId w:val="0"/>
      </w:numPr>
      <w:spacing w:before="0" w:after="0"/>
      <w:jc w:val="center"/>
      <w:outlineLvl w:val="9"/>
    </w:pPr>
    <w:rPr>
      <w:rFonts w:eastAsiaTheme="majorEastAsia" w:cstheme="majorBidi"/>
      <w:color w:val="000D9C"/>
    </w:rPr>
  </w:style>
  <w:style w:type="paragraph" w:styleId="TM3">
    <w:name w:val="toc 3"/>
    <w:basedOn w:val="Normal"/>
    <w:next w:val="Normal"/>
    <w:autoRedefine/>
    <w:uiPriority w:val="39"/>
    <w:unhideWhenUsed/>
    <w:rsid w:val="00C37BF8"/>
    <w:pPr>
      <w:spacing w:before="0" w:after="0"/>
      <w:ind w:left="480"/>
      <w:jc w:val="left"/>
    </w:pPr>
    <w:rPr>
      <w:rFonts w:asciiTheme="minorHAnsi" w:hAnsiTheme="minorHAnsi" w:cstheme="minorHAnsi"/>
      <w:sz w:val="20"/>
      <w:szCs w:val="20"/>
    </w:rPr>
  </w:style>
  <w:style w:type="paragraph" w:styleId="TM4">
    <w:name w:val="toc 4"/>
    <w:basedOn w:val="Normal"/>
    <w:next w:val="Normal"/>
    <w:autoRedefine/>
    <w:uiPriority w:val="39"/>
    <w:semiHidden/>
    <w:unhideWhenUsed/>
    <w:rsid w:val="00C37BF8"/>
    <w:pPr>
      <w:spacing w:before="0" w:after="0"/>
      <w:ind w:left="720"/>
      <w:jc w:val="left"/>
    </w:pPr>
    <w:rPr>
      <w:rFonts w:asciiTheme="minorHAnsi" w:hAnsiTheme="minorHAnsi" w:cstheme="minorHAnsi"/>
      <w:sz w:val="20"/>
      <w:szCs w:val="20"/>
    </w:rPr>
  </w:style>
  <w:style w:type="paragraph" w:styleId="TM5">
    <w:name w:val="toc 5"/>
    <w:basedOn w:val="Normal"/>
    <w:next w:val="Normal"/>
    <w:autoRedefine/>
    <w:uiPriority w:val="39"/>
    <w:semiHidden/>
    <w:unhideWhenUsed/>
    <w:rsid w:val="00C37BF8"/>
    <w:pPr>
      <w:spacing w:before="0" w:after="0"/>
      <w:ind w:left="960"/>
      <w:jc w:val="left"/>
    </w:pPr>
    <w:rPr>
      <w:rFonts w:asciiTheme="minorHAnsi" w:hAnsiTheme="minorHAnsi" w:cstheme="minorHAnsi"/>
      <w:sz w:val="20"/>
      <w:szCs w:val="20"/>
    </w:rPr>
  </w:style>
  <w:style w:type="paragraph" w:styleId="TM6">
    <w:name w:val="toc 6"/>
    <w:basedOn w:val="Normal"/>
    <w:next w:val="Normal"/>
    <w:autoRedefine/>
    <w:uiPriority w:val="39"/>
    <w:semiHidden/>
    <w:unhideWhenUsed/>
    <w:rsid w:val="00C37BF8"/>
    <w:pPr>
      <w:spacing w:before="0" w:after="0"/>
      <w:ind w:left="1200"/>
      <w:jc w:val="left"/>
    </w:pPr>
    <w:rPr>
      <w:rFonts w:asciiTheme="minorHAnsi" w:hAnsiTheme="minorHAnsi" w:cstheme="minorHAnsi"/>
      <w:sz w:val="20"/>
      <w:szCs w:val="20"/>
    </w:rPr>
  </w:style>
  <w:style w:type="paragraph" w:styleId="TM7">
    <w:name w:val="toc 7"/>
    <w:basedOn w:val="Normal"/>
    <w:next w:val="Normal"/>
    <w:autoRedefine/>
    <w:uiPriority w:val="39"/>
    <w:semiHidden/>
    <w:unhideWhenUsed/>
    <w:rsid w:val="00C37BF8"/>
    <w:pPr>
      <w:spacing w:before="0" w:after="0"/>
      <w:ind w:left="1440"/>
      <w:jc w:val="left"/>
    </w:pPr>
    <w:rPr>
      <w:rFonts w:asciiTheme="minorHAnsi" w:hAnsiTheme="minorHAnsi" w:cstheme="minorHAnsi"/>
      <w:sz w:val="20"/>
      <w:szCs w:val="20"/>
    </w:rPr>
  </w:style>
  <w:style w:type="paragraph" w:styleId="TM8">
    <w:name w:val="toc 8"/>
    <w:basedOn w:val="Normal"/>
    <w:next w:val="Normal"/>
    <w:autoRedefine/>
    <w:uiPriority w:val="39"/>
    <w:semiHidden/>
    <w:unhideWhenUsed/>
    <w:rsid w:val="00C37BF8"/>
    <w:pPr>
      <w:spacing w:before="0" w:after="0"/>
      <w:ind w:left="1680"/>
      <w:jc w:val="left"/>
    </w:pPr>
    <w:rPr>
      <w:rFonts w:asciiTheme="minorHAnsi" w:hAnsiTheme="minorHAnsi" w:cstheme="minorHAnsi"/>
      <w:sz w:val="20"/>
      <w:szCs w:val="20"/>
    </w:rPr>
  </w:style>
  <w:style w:type="paragraph" w:styleId="TM9">
    <w:name w:val="toc 9"/>
    <w:basedOn w:val="Normal"/>
    <w:next w:val="Normal"/>
    <w:autoRedefine/>
    <w:uiPriority w:val="39"/>
    <w:semiHidden/>
    <w:unhideWhenUsed/>
    <w:rsid w:val="00C37BF8"/>
    <w:pPr>
      <w:spacing w:before="0" w:after="0"/>
      <w:ind w:left="1920"/>
      <w:jc w:val="left"/>
    </w:pPr>
    <w:rPr>
      <w:rFonts w:asciiTheme="minorHAnsi" w:hAnsiTheme="minorHAnsi" w:cstheme="minorHAnsi"/>
      <w:sz w:val="20"/>
      <w:szCs w:val="20"/>
    </w:rPr>
  </w:style>
  <w:style w:type="paragraph" w:styleId="Titre">
    <w:name w:val="Title"/>
    <w:basedOn w:val="Normal"/>
    <w:next w:val="Normal"/>
    <w:link w:val="TitreCar"/>
    <w:uiPriority w:val="10"/>
    <w:qFormat/>
    <w:rsid w:val="00BA76A2"/>
    <w:pPr>
      <w:spacing w:before="0"/>
      <w:contextualSpacing/>
      <w:outlineLvl w:val="0"/>
    </w:pPr>
    <w:rPr>
      <w:rFonts w:asciiTheme="majorHAnsi" w:eastAsiaTheme="majorEastAsia" w:hAnsiTheme="majorHAnsi" w:cs="Mangal"/>
      <w:spacing w:val="-10"/>
      <w:kern w:val="28"/>
      <w:sz w:val="56"/>
      <w:szCs w:val="50"/>
    </w:rPr>
  </w:style>
  <w:style w:type="character" w:customStyle="1" w:styleId="TitreCar">
    <w:name w:val="Titre Car"/>
    <w:basedOn w:val="Policepardfaut"/>
    <w:link w:val="Titre"/>
    <w:uiPriority w:val="10"/>
    <w:rsid w:val="00BA76A2"/>
    <w:rPr>
      <w:rFonts w:asciiTheme="majorHAnsi" w:eastAsiaTheme="majorEastAsia" w:hAnsiTheme="majorHAnsi" w:cs="Mangal"/>
      <w:spacing w:val="-10"/>
      <w:kern w:val="28"/>
      <w:sz w:val="56"/>
      <w:szCs w:val="50"/>
      <w:lang w:eastAsia="fr-FR"/>
      <w14:ligatures w14:val="none"/>
    </w:rPr>
  </w:style>
  <w:style w:type="paragraph" w:styleId="Citationintense">
    <w:name w:val="Intense Quote"/>
    <w:basedOn w:val="Normal"/>
    <w:next w:val="Normal"/>
    <w:link w:val="CitationintenseCar"/>
    <w:uiPriority w:val="30"/>
    <w:qFormat/>
    <w:rsid w:val="00217EBF"/>
    <w:pPr>
      <w:pBdr>
        <w:top w:val="single" w:sz="8" w:space="10" w:color="000E9C"/>
        <w:bottom w:val="single" w:sz="8" w:space="10" w:color="000E9C"/>
      </w:pBdr>
      <w:spacing w:before="0" w:after="0"/>
      <w:jc w:val="center"/>
    </w:pPr>
    <w:rPr>
      <w:rFonts w:cs="Mangal"/>
      <w:i/>
      <w:iCs/>
      <w:color w:val="000E9C"/>
      <w:sz w:val="20"/>
      <w:szCs w:val="21"/>
    </w:rPr>
  </w:style>
  <w:style w:type="character" w:customStyle="1" w:styleId="CitationintenseCar">
    <w:name w:val="Citation intense Car"/>
    <w:basedOn w:val="Policepardfaut"/>
    <w:link w:val="Citationintense"/>
    <w:uiPriority w:val="30"/>
    <w:rsid w:val="00217EBF"/>
    <w:rPr>
      <w:rFonts w:ascii="Source Sans Pro" w:eastAsia="Times New Roman" w:hAnsi="Source Sans Pro" w:cs="Mangal"/>
      <w:i/>
      <w:iCs/>
      <w:color w:val="000E9C"/>
      <w:kern w:val="0"/>
      <w:sz w:val="20"/>
      <w:szCs w:val="21"/>
      <w:lang w:eastAsia="fr-FR"/>
      <w14:ligatures w14:val="none"/>
    </w:rPr>
  </w:style>
  <w:style w:type="character" w:styleId="Accentuationlgre">
    <w:name w:val="Subtle Emphasis"/>
    <w:aliases w:val="Notes"/>
    <w:uiPriority w:val="19"/>
    <w:qFormat/>
    <w:rsid w:val="00C37BF8"/>
    <w:rPr>
      <w:sz w:val="18"/>
      <w:szCs w:val="18"/>
    </w:rPr>
  </w:style>
  <w:style w:type="paragraph" w:styleId="Notedebasdepage">
    <w:name w:val="footnote text"/>
    <w:basedOn w:val="Normal"/>
    <w:link w:val="NotedebasdepageCar"/>
    <w:uiPriority w:val="99"/>
    <w:unhideWhenUsed/>
    <w:rsid w:val="00C37BF8"/>
    <w:pPr>
      <w:spacing w:before="0" w:after="0"/>
    </w:pPr>
    <w:rPr>
      <w:rFonts w:eastAsiaTheme="minorEastAsia" w:cstheme="minorBidi"/>
      <w:color w:val="262626" w:themeColor="text1" w:themeTint="D9"/>
      <w:sz w:val="22"/>
      <w:szCs w:val="20"/>
      <w:lang w:eastAsia="en-US"/>
    </w:rPr>
  </w:style>
  <w:style w:type="character" w:customStyle="1" w:styleId="NotedebasdepageCar">
    <w:name w:val="Note de bas de page Car"/>
    <w:basedOn w:val="Policepardfaut"/>
    <w:link w:val="Notedebasdepage"/>
    <w:uiPriority w:val="99"/>
    <w:rsid w:val="00C37BF8"/>
    <w:rPr>
      <w:rFonts w:ascii="Source Sans Pro" w:eastAsiaTheme="minorEastAsia" w:hAnsi="Source Sans Pro"/>
      <w:color w:val="262626" w:themeColor="text1" w:themeTint="D9"/>
      <w:kern w:val="0"/>
      <w:szCs w:val="20"/>
      <w14:ligatures w14:val="none"/>
    </w:rPr>
  </w:style>
  <w:style w:type="character" w:styleId="Appelnotedebasdep">
    <w:name w:val="footnote reference"/>
    <w:basedOn w:val="Policepardfaut"/>
    <w:uiPriority w:val="99"/>
    <w:semiHidden/>
    <w:unhideWhenUsed/>
    <w:rsid w:val="00C37BF8"/>
    <w:rPr>
      <w:vertAlign w:val="superscript"/>
    </w:rPr>
  </w:style>
  <w:style w:type="character" w:styleId="Lienhypertextesuivivisit">
    <w:name w:val="FollowedHyperlink"/>
    <w:basedOn w:val="Policepardfaut"/>
    <w:uiPriority w:val="99"/>
    <w:semiHidden/>
    <w:unhideWhenUsed/>
    <w:rsid w:val="00C37BF8"/>
    <w:rPr>
      <w:color w:val="954F72" w:themeColor="followedHyperlink"/>
      <w:u w:val="single"/>
    </w:rPr>
  </w:style>
  <w:style w:type="character" w:customStyle="1" w:styleId="tokencreated">
    <w:name w:val="token_created"/>
    <w:basedOn w:val="Policepardfaut"/>
    <w:rsid w:val="00560272"/>
  </w:style>
  <w:style w:type="character" w:customStyle="1" w:styleId="apple-converted-space">
    <w:name w:val="apple-converted-space"/>
    <w:basedOn w:val="Policepardfaut"/>
    <w:rsid w:val="00560272"/>
  </w:style>
  <w:style w:type="table" w:styleId="TableauGrille3-Accentuation1">
    <w:name w:val="Grid Table 3 Accent 1"/>
    <w:basedOn w:val="TableauNormal"/>
    <w:uiPriority w:val="48"/>
    <w:rsid w:val="00A224B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1Clair-Accentuation1">
    <w:name w:val="Grid Table 1 Light Accent 1"/>
    <w:basedOn w:val="TableauNormal"/>
    <w:uiPriority w:val="46"/>
    <w:rsid w:val="002A15F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073783"/>
    <w:rPr>
      <w:color w:val="666666"/>
    </w:rPr>
  </w:style>
  <w:style w:type="paragraph" w:styleId="Sansinterligne">
    <w:name w:val="No Spacing"/>
    <w:uiPriority w:val="1"/>
    <w:qFormat/>
    <w:rsid w:val="00656470"/>
    <w:pPr>
      <w:suppressAutoHyphens/>
      <w:autoSpaceDN w:val="0"/>
      <w:spacing w:after="0" w:line="240" w:lineRule="auto"/>
      <w:jc w:val="both"/>
      <w:textAlignment w:val="baseline"/>
    </w:pPr>
    <w:rPr>
      <w:rFonts w:ascii="Liberation Serif" w:eastAsia="Noto Serif CJK SC" w:hAnsi="Liberation Serif" w:cs="Mangal"/>
      <w:kern w:val="3"/>
      <w:sz w:val="24"/>
      <w:szCs w:val="21"/>
      <w:shd w:val="clear" w:color="auto" w:fill="FFFFFF"/>
      <w:lang w:eastAsia="zh-CN" w:bidi="hi-IN"/>
      <w14:ligatures w14:val="none"/>
    </w:rPr>
  </w:style>
  <w:style w:type="paragraph" w:customStyle="1" w:styleId="Corpsdetable">
    <w:name w:val="Corps de table"/>
    <w:basedOn w:val="En-ttedetabledesmatires"/>
    <w:qFormat/>
    <w:rsid w:val="00F15C1A"/>
    <w:pPr>
      <w:jc w:val="both"/>
    </w:pPr>
    <w:rPr>
      <w:b w:val="0"/>
      <w:color w:val="000000" w:themeColor="text1"/>
      <w:sz w:val="22"/>
    </w:rPr>
  </w:style>
  <w:style w:type="character" w:styleId="Accentuation">
    <w:name w:val="Emphasis"/>
    <w:basedOn w:val="Policepardfaut"/>
    <w:uiPriority w:val="20"/>
    <w:qFormat/>
    <w:rsid w:val="00F4218F"/>
    <w:rPr>
      <w:i/>
      <w:iCs/>
    </w:rPr>
  </w:style>
  <w:style w:type="paragraph" w:styleId="Citation">
    <w:name w:val="Quote"/>
    <w:basedOn w:val="Normal"/>
    <w:next w:val="Normal"/>
    <w:link w:val="CitationCar"/>
    <w:uiPriority w:val="29"/>
    <w:qFormat/>
    <w:rsid w:val="00F4218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4218F"/>
    <w:rPr>
      <w:rFonts w:ascii="Source Sans Pro" w:eastAsia="Times New Roman" w:hAnsi="Source Sans Pro" w:cstheme="majorHAnsi"/>
      <w:i/>
      <w:iCs/>
      <w:color w:val="404040" w:themeColor="text1" w:themeTint="BF"/>
      <w:kern w:val="0"/>
      <w:sz w:val="24"/>
      <w:szCs w:val="24"/>
      <w:lang w:eastAsia="fr-FR"/>
      <w14:ligatures w14:val="none"/>
    </w:rPr>
  </w:style>
  <w:style w:type="character" w:styleId="Rfrencelgre">
    <w:name w:val="Subtle Reference"/>
    <w:basedOn w:val="Policepardfaut"/>
    <w:uiPriority w:val="31"/>
    <w:qFormat/>
    <w:rsid w:val="00F4218F"/>
    <w:rPr>
      <w:smallCaps/>
      <w:color w:val="5A5A5A" w:themeColor="text1" w:themeTint="A5"/>
    </w:rPr>
  </w:style>
  <w:style w:type="paragraph" w:customStyle="1" w:styleId="Explication">
    <w:name w:val="Explication"/>
    <w:basedOn w:val="Lgende"/>
    <w:qFormat/>
    <w:rsid w:val="00F4218F"/>
    <w:pPr>
      <w:spacing w:after="0"/>
      <w:ind w:left="170"/>
      <w:jc w:val="left"/>
    </w:pPr>
    <w:rPr>
      <w:color w:val="000000" w:themeColor="text1"/>
      <w:sz w:val="16"/>
    </w:rPr>
  </w:style>
  <w:style w:type="paragraph" w:styleId="Tabledesillustrations">
    <w:name w:val="table of figures"/>
    <w:basedOn w:val="Normal"/>
    <w:next w:val="Normal"/>
    <w:uiPriority w:val="99"/>
    <w:unhideWhenUsed/>
    <w:rsid w:val="00BA76A2"/>
    <w:pPr>
      <w:spacing w:before="0" w:after="0"/>
      <w:ind w:left="480" w:hanging="480"/>
      <w:jc w:val="left"/>
    </w:pPr>
    <w:rPr>
      <w:rFonts w:asciiTheme="minorHAnsi" w:hAnsiTheme="minorHAnsi" w:cstheme="minorHAnsi"/>
      <w:smallCaps/>
      <w:sz w:val="20"/>
      <w:szCs w:val="20"/>
    </w:rPr>
  </w:style>
  <w:style w:type="paragraph" w:styleId="Rvision">
    <w:name w:val="Revision"/>
    <w:hidden/>
    <w:uiPriority w:val="99"/>
    <w:semiHidden/>
    <w:rsid w:val="00705D13"/>
    <w:pPr>
      <w:spacing w:after="0" w:line="240" w:lineRule="auto"/>
    </w:pPr>
    <w:rPr>
      <w:rFonts w:ascii="Source Sans Pro" w:eastAsia="Times New Roman" w:hAnsi="Source Sans Pro" w:cstheme="majorHAnsi"/>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31152">
      <w:bodyDiv w:val="1"/>
      <w:marLeft w:val="0"/>
      <w:marRight w:val="0"/>
      <w:marTop w:val="0"/>
      <w:marBottom w:val="0"/>
      <w:divBdr>
        <w:top w:val="none" w:sz="0" w:space="0" w:color="auto"/>
        <w:left w:val="none" w:sz="0" w:space="0" w:color="auto"/>
        <w:bottom w:val="none" w:sz="0" w:space="0" w:color="auto"/>
        <w:right w:val="none" w:sz="0" w:space="0" w:color="auto"/>
      </w:divBdr>
    </w:div>
    <w:div w:id="122162362">
      <w:bodyDiv w:val="1"/>
      <w:marLeft w:val="0"/>
      <w:marRight w:val="0"/>
      <w:marTop w:val="0"/>
      <w:marBottom w:val="0"/>
      <w:divBdr>
        <w:top w:val="none" w:sz="0" w:space="0" w:color="auto"/>
        <w:left w:val="none" w:sz="0" w:space="0" w:color="auto"/>
        <w:bottom w:val="none" w:sz="0" w:space="0" w:color="auto"/>
        <w:right w:val="none" w:sz="0" w:space="0" w:color="auto"/>
      </w:divBdr>
    </w:div>
    <w:div w:id="136534783">
      <w:bodyDiv w:val="1"/>
      <w:marLeft w:val="0"/>
      <w:marRight w:val="0"/>
      <w:marTop w:val="0"/>
      <w:marBottom w:val="0"/>
      <w:divBdr>
        <w:top w:val="none" w:sz="0" w:space="0" w:color="auto"/>
        <w:left w:val="none" w:sz="0" w:space="0" w:color="auto"/>
        <w:bottom w:val="none" w:sz="0" w:space="0" w:color="auto"/>
        <w:right w:val="none" w:sz="0" w:space="0" w:color="auto"/>
      </w:divBdr>
    </w:div>
    <w:div w:id="150610477">
      <w:bodyDiv w:val="1"/>
      <w:marLeft w:val="0"/>
      <w:marRight w:val="0"/>
      <w:marTop w:val="0"/>
      <w:marBottom w:val="0"/>
      <w:divBdr>
        <w:top w:val="none" w:sz="0" w:space="0" w:color="auto"/>
        <w:left w:val="none" w:sz="0" w:space="0" w:color="auto"/>
        <w:bottom w:val="none" w:sz="0" w:space="0" w:color="auto"/>
        <w:right w:val="none" w:sz="0" w:space="0" w:color="auto"/>
      </w:divBdr>
    </w:div>
    <w:div w:id="161356328">
      <w:bodyDiv w:val="1"/>
      <w:marLeft w:val="0"/>
      <w:marRight w:val="0"/>
      <w:marTop w:val="0"/>
      <w:marBottom w:val="0"/>
      <w:divBdr>
        <w:top w:val="none" w:sz="0" w:space="0" w:color="auto"/>
        <w:left w:val="none" w:sz="0" w:space="0" w:color="auto"/>
        <w:bottom w:val="none" w:sz="0" w:space="0" w:color="auto"/>
        <w:right w:val="none" w:sz="0" w:space="0" w:color="auto"/>
      </w:divBdr>
    </w:div>
    <w:div w:id="176047753">
      <w:bodyDiv w:val="1"/>
      <w:marLeft w:val="0"/>
      <w:marRight w:val="0"/>
      <w:marTop w:val="0"/>
      <w:marBottom w:val="0"/>
      <w:divBdr>
        <w:top w:val="none" w:sz="0" w:space="0" w:color="auto"/>
        <w:left w:val="none" w:sz="0" w:space="0" w:color="auto"/>
        <w:bottom w:val="none" w:sz="0" w:space="0" w:color="auto"/>
        <w:right w:val="none" w:sz="0" w:space="0" w:color="auto"/>
      </w:divBdr>
    </w:div>
    <w:div w:id="508259361">
      <w:bodyDiv w:val="1"/>
      <w:marLeft w:val="0"/>
      <w:marRight w:val="0"/>
      <w:marTop w:val="0"/>
      <w:marBottom w:val="0"/>
      <w:divBdr>
        <w:top w:val="none" w:sz="0" w:space="0" w:color="auto"/>
        <w:left w:val="none" w:sz="0" w:space="0" w:color="auto"/>
        <w:bottom w:val="none" w:sz="0" w:space="0" w:color="auto"/>
        <w:right w:val="none" w:sz="0" w:space="0" w:color="auto"/>
      </w:divBdr>
    </w:div>
    <w:div w:id="574511201">
      <w:bodyDiv w:val="1"/>
      <w:marLeft w:val="0"/>
      <w:marRight w:val="0"/>
      <w:marTop w:val="0"/>
      <w:marBottom w:val="0"/>
      <w:divBdr>
        <w:top w:val="none" w:sz="0" w:space="0" w:color="auto"/>
        <w:left w:val="none" w:sz="0" w:space="0" w:color="auto"/>
        <w:bottom w:val="none" w:sz="0" w:space="0" w:color="auto"/>
        <w:right w:val="none" w:sz="0" w:space="0" w:color="auto"/>
      </w:divBdr>
    </w:div>
    <w:div w:id="633290717">
      <w:bodyDiv w:val="1"/>
      <w:marLeft w:val="0"/>
      <w:marRight w:val="0"/>
      <w:marTop w:val="0"/>
      <w:marBottom w:val="0"/>
      <w:divBdr>
        <w:top w:val="none" w:sz="0" w:space="0" w:color="auto"/>
        <w:left w:val="none" w:sz="0" w:space="0" w:color="auto"/>
        <w:bottom w:val="none" w:sz="0" w:space="0" w:color="auto"/>
        <w:right w:val="none" w:sz="0" w:space="0" w:color="auto"/>
      </w:divBdr>
    </w:div>
    <w:div w:id="638920336">
      <w:bodyDiv w:val="1"/>
      <w:marLeft w:val="0"/>
      <w:marRight w:val="0"/>
      <w:marTop w:val="0"/>
      <w:marBottom w:val="0"/>
      <w:divBdr>
        <w:top w:val="none" w:sz="0" w:space="0" w:color="auto"/>
        <w:left w:val="none" w:sz="0" w:space="0" w:color="auto"/>
        <w:bottom w:val="none" w:sz="0" w:space="0" w:color="auto"/>
        <w:right w:val="none" w:sz="0" w:space="0" w:color="auto"/>
      </w:divBdr>
    </w:div>
    <w:div w:id="894855807">
      <w:bodyDiv w:val="1"/>
      <w:marLeft w:val="0"/>
      <w:marRight w:val="0"/>
      <w:marTop w:val="0"/>
      <w:marBottom w:val="0"/>
      <w:divBdr>
        <w:top w:val="none" w:sz="0" w:space="0" w:color="auto"/>
        <w:left w:val="none" w:sz="0" w:space="0" w:color="auto"/>
        <w:bottom w:val="none" w:sz="0" w:space="0" w:color="auto"/>
        <w:right w:val="none" w:sz="0" w:space="0" w:color="auto"/>
      </w:divBdr>
    </w:div>
    <w:div w:id="911625764">
      <w:bodyDiv w:val="1"/>
      <w:marLeft w:val="0"/>
      <w:marRight w:val="0"/>
      <w:marTop w:val="0"/>
      <w:marBottom w:val="0"/>
      <w:divBdr>
        <w:top w:val="none" w:sz="0" w:space="0" w:color="auto"/>
        <w:left w:val="none" w:sz="0" w:space="0" w:color="auto"/>
        <w:bottom w:val="none" w:sz="0" w:space="0" w:color="auto"/>
        <w:right w:val="none" w:sz="0" w:space="0" w:color="auto"/>
      </w:divBdr>
    </w:div>
    <w:div w:id="969893870">
      <w:bodyDiv w:val="1"/>
      <w:marLeft w:val="0"/>
      <w:marRight w:val="0"/>
      <w:marTop w:val="0"/>
      <w:marBottom w:val="0"/>
      <w:divBdr>
        <w:top w:val="none" w:sz="0" w:space="0" w:color="auto"/>
        <w:left w:val="none" w:sz="0" w:space="0" w:color="auto"/>
        <w:bottom w:val="none" w:sz="0" w:space="0" w:color="auto"/>
        <w:right w:val="none" w:sz="0" w:space="0" w:color="auto"/>
      </w:divBdr>
    </w:div>
    <w:div w:id="1032072587">
      <w:bodyDiv w:val="1"/>
      <w:marLeft w:val="0"/>
      <w:marRight w:val="0"/>
      <w:marTop w:val="0"/>
      <w:marBottom w:val="0"/>
      <w:divBdr>
        <w:top w:val="none" w:sz="0" w:space="0" w:color="auto"/>
        <w:left w:val="none" w:sz="0" w:space="0" w:color="auto"/>
        <w:bottom w:val="none" w:sz="0" w:space="0" w:color="auto"/>
        <w:right w:val="none" w:sz="0" w:space="0" w:color="auto"/>
      </w:divBdr>
    </w:div>
    <w:div w:id="1126435435">
      <w:bodyDiv w:val="1"/>
      <w:marLeft w:val="0"/>
      <w:marRight w:val="0"/>
      <w:marTop w:val="0"/>
      <w:marBottom w:val="0"/>
      <w:divBdr>
        <w:top w:val="none" w:sz="0" w:space="0" w:color="auto"/>
        <w:left w:val="none" w:sz="0" w:space="0" w:color="auto"/>
        <w:bottom w:val="none" w:sz="0" w:space="0" w:color="auto"/>
        <w:right w:val="none" w:sz="0" w:space="0" w:color="auto"/>
      </w:divBdr>
    </w:div>
    <w:div w:id="1138180580">
      <w:bodyDiv w:val="1"/>
      <w:marLeft w:val="0"/>
      <w:marRight w:val="0"/>
      <w:marTop w:val="0"/>
      <w:marBottom w:val="0"/>
      <w:divBdr>
        <w:top w:val="none" w:sz="0" w:space="0" w:color="auto"/>
        <w:left w:val="none" w:sz="0" w:space="0" w:color="auto"/>
        <w:bottom w:val="none" w:sz="0" w:space="0" w:color="auto"/>
        <w:right w:val="none" w:sz="0" w:space="0" w:color="auto"/>
      </w:divBdr>
    </w:div>
    <w:div w:id="1187520125">
      <w:bodyDiv w:val="1"/>
      <w:marLeft w:val="0"/>
      <w:marRight w:val="0"/>
      <w:marTop w:val="0"/>
      <w:marBottom w:val="0"/>
      <w:divBdr>
        <w:top w:val="none" w:sz="0" w:space="0" w:color="auto"/>
        <w:left w:val="none" w:sz="0" w:space="0" w:color="auto"/>
        <w:bottom w:val="none" w:sz="0" w:space="0" w:color="auto"/>
        <w:right w:val="none" w:sz="0" w:space="0" w:color="auto"/>
      </w:divBdr>
    </w:div>
    <w:div w:id="1280992971">
      <w:bodyDiv w:val="1"/>
      <w:marLeft w:val="0"/>
      <w:marRight w:val="0"/>
      <w:marTop w:val="0"/>
      <w:marBottom w:val="0"/>
      <w:divBdr>
        <w:top w:val="none" w:sz="0" w:space="0" w:color="auto"/>
        <w:left w:val="none" w:sz="0" w:space="0" w:color="auto"/>
        <w:bottom w:val="none" w:sz="0" w:space="0" w:color="auto"/>
        <w:right w:val="none" w:sz="0" w:space="0" w:color="auto"/>
      </w:divBdr>
    </w:div>
    <w:div w:id="1339428922">
      <w:bodyDiv w:val="1"/>
      <w:marLeft w:val="0"/>
      <w:marRight w:val="0"/>
      <w:marTop w:val="0"/>
      <w:marBottom w:val="0"/>
      <w:divBdr>
        <w:top w:val="none" w:sz="0" w:space="0" w:color="auto"/>
        <w:left w:val="none" w:sz="0" w:space="0" w:color="auto"/>
        <w:bottom w:val="none" w:sz="0" w:space="0" w:color="auto"/>
        <w:right w:val="none" w:sz="0" w:space="0" w:color="auto"/>
      </w:divBdr>
    </w:div>
    <w:div w:id="1369916743">
      <w:bodyDiv w:val="1"/>
      <w:marLeft w:val="0"/>
      <w:marRight w:val="0"/>
      <w:marTop w:val="0"/>
      <w:marBottom w:val="0"/>
      <w:divBdr>
        <w:top w:val="none" w:sz="0" w:space="0" w:color="auto"/>
        <w:left w:val="none" w:sz="0" w:space="0" w:color="auto"/>
        <w:bottom w:val="none" w:sz="0" w:space="0" w:color="auto"/>
        <w:right w:val="none" w:sz="0" w:space="0" w:color="auto"/>
      </w:divBdr>
    </w:div>
    <w:div w:id="1461652794">
      <w:bodyDiv w:val="1"/>
      <w:marLeft w:val="0"/>
      <w:marRight w:val="0"/>
      <w:marTop w:val="0"/>
      <w:marBottom w:val="0"/>
      <w:divBdr>
        <w:top w:val="none" w:sz="0" w:space="0" w:color="auto"/>
        <w:left w:val="none" w:sz="0" w:space="0" w:color="auto"/>
        <w:bottom w:val="none" w:sz="0" w:space="0" w:color="auto"/>
        <w:right w:val="none" w:sz="0" w:space="0" w:color="auto"/>
      </w:divBdr>
    </w:div>
    <w:div w:id="1507984010">
      <w:bodyDiv w:val="1"/>
      <w:marLeft w:val="0"/>
      <w:marRight w:val="0"/>
      <w:marTop w:val="0"/>
      <w:marBottom w:val="0"/>
      <w:divBdr>
        <w:top w:val="none" w:sz="0" w:space="0" w:color="auto"/>
        <w:left w:val="none" w:sz="0" w:space="0" w:color="auto"/>
        <w:bottom w:val="none" w:sz="0" w:space="0" w:color="auto"/>
        <w:right w:val="none" w:sz="0" w:space="0" w:color="auto"/>
      </w:divBdr>
    </w:div>
    <w:div w:id="1510873858">
      <w:bodyDiv w:val="1"/>
      <w:marLeft w:val="0"/>
      <w:marRight w:val="0"/>
      <w:marTop w:val="0"/>
      <w:marBottom w:val="0"/>
      <w:divBdr>
        <w:top w:val="none" w:sz="0" w:space="0" w:color="auto"/>
        <w:left w:val="none" w:sz="0" w:space="0" w:color="auto"/>
        <w:bottom w:val="none" w:sz="0" w:space="0" w:color="auto"/>
        <w:right w:val="none" w:sz="0" w:space="0" w:color="auto"/>
      </w:divBdr>
    </w:div>
    <w:div w:id="1525822904">
      <w:bodyDiv w:val="1"/>
      <w:marLeft w:val="0"/>
      <w:marRight w:val="0"/>
      <w:marTop w:val="0"/>
      <w:marBottom w:val="0"/>
      <w:divBdr>
        <w:top w:val="none" w:sz="0" w:space="0" w:color="auto"/>
        <w:left w:val="none" w:sz="0" w:space="0" w:color="auto"/>
        <w:bottom w:val="none" w:sz="0" w:space="0" w:color="auto"/>
        <w:right w:val="none" w:sz="0" w:space="0" w:color="auto"/>
      </w:divBdr>
    </w:div>
    <w:div w:id="1608537147">
      <w:bodyDiv w:val="1"/>
      <w:marLeft w:val="0"/>
      <w:marRight w:val="0"/>
      <w:marTop w:val="0"/>
      <w:marBottom w:val="0"/>
      <w:divBdr>
        <w:top w:val="none" w:sz="0" w:space="0" w:color="auto"/>
        <w:left w:val="none" w:sz="0" w:space="0" w:color="auto"/>
        <w:bottom w:val="none" w:sz="0" w:space="0" w:color="auto"/>
        <w:right w:val="none" w:sz="0" w:space="0" w:color="auto"/>
      </w:divBdr>
    </w:div>
    <w:div w:id="1767774783">
      <w:bodyDiv w:val="1"/>
      <w:marLeft w:val="0"/>
      <w:marRight w:val="0"/>
      <w:marTop w:val="0"/>
      <w:marBottom w:val="0"/>
      <w:divBdr>
        <w:top w:val="none" w:sz="0" w:space="0" w:color="auto"/>
        <w:left w:val="none" w:sz="0" w:space="0" w:color="auto"/>
        <w:bottom w:val="none" w:sz="0" w:space="0" w:color="auto"/>
        <w:right w:val="none" w:sz="0" w:space="0" w:color="auto"/>
      </w:divBdr>
    </w:div>
    <w:div w:id="1994288169">
      <w:bodyDiv w:val="1"/>
      <w:marLeft w:val="0"/>
      <w:marRight w:val="0"/>
      <w:marTop w:val="0"/>
      <w:marBottom w:val="0"/>
      <w:divBdr>
        <w:top w:val="none" w:sz="0" w:space="0" w:color="auto"/>
        <w:left w:val="none" w:sz="0" w:space="0" w:color="auto"/>
        <w:bottom w:val="none" w:sz="0" w:space="0" w:color="auto"/>
        <w:right w:val="none" w:sz="0" w:space="0" w:color="auto"/>
      </w:divBdr>
    </w:div>
    <w:div w:id="2036539474">
      <w:bodyDiv w:val="1"/>
      <w:marLeft w:val="0"/>
      <w:marRight w:val="0"/>
      <w:marTop w:val="0"/>
      <w:marBottom w:val="0"/>
      <w:divBdr>
        <w:top w:val="none" w:sz="0" w:space="0" w:color="auto"/>
        <w:left w:val="none" w:sz="0" w:space="0" w:color="auto"/>
        <w:bottom w:val="none" w:sz="0" w:space="0" w:color="auto"/>
        <w:right w:val="none" w:sz="0" w:space="0" w:color="auto"/>
      </w:divBdr>
    </w:div>
    <w:div w:id="2130541899">
      <w:bodyDiv w:val="1"/>
      <w:marLeft w:val="0"/>
      <w:marRight w:val="0"/>
      <w:marTop w:val="0"/>
      <w:marBottom w:val="0"/>
      <w:divBdr>
        <w:top w:val="none" w:sz="0" w:space="0" w:color="auto"/>
        <w:left w:val="none" w:sz="0" w:space="0" w:color="auto"/>
        <w:bottom w:val="none" w:sz="0" w:space="0" w:color="auto"/>
        <w:right w:val="none" w:sz="0" w:space="0" w:color="auto"/>
      </w:divBdr>
    </w:div>
    <w:div w:id="21451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ovhcloud.com/sites/default/files/external_files/https:/www.ovhcloud.com/sites/default/files/external_files/https:/corporate.ocms.ovhcloud.tools/sites/default/files/external_files/signed-ovhcloud-certification-bare-metal-hpc-long-1.2_eng.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rporate.ovhcloud.com/fr/sustainability/environment/" TargetMode="Externa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portal.electricitymaps.com/datasets" TargetMode="External"/><Relationship Id="rId2" Type="http://schemas.openxmlformats.org/officeDocument/2006/relationships/hyperlink" Target="https://www.umweltbundesamt.de/sites/default/files/medien/5750/publikationen/2021-06-17_texte_94-2021_green-cloud-computing.pdf" TargetMode="External"/><Relationship Id="rId1" Type="http://schemas.openxmlformats.org/officeDocument/2006/relationships/hyperlink" Target="https://corporate.ovhcloud.com/fr/investor-relations/financial-results/" TargetMode="External"/><Relationship Id="rId4" Type="http://schemas.openxmlformats.org/officeDocument/2006/relationships/hyperlink" Target="http://exampl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miere\Downloads\Word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vaudati/Nextcloud/2-Me&#769;thodologie/Illustration/CPU%20load%20vs%20emission%20facto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Feuil1!$C$6</c:f>
              <c:strCache>
                <c:ptCount val="1"/>
                <c:pt idx="0">
                  <c:v>Determined CPU load</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Feuil1!$D$4:$AB$4</c:f>
              <c:numCache>
                <c:formatCode>h:mm</c:formatCode>
                <c:ptCount val="25"/>
                <c:pt idx="0">
                  <c:v>0</c:v>
                </c:pt>
                <c:pt idx="1">
                  <c:v>4.1666666666666664E-2</c:v>
                </c:pt>
                <c:pt idx="2">
                  <c:v>8.3333333333333329E-2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numCache>
            </c:numRef>
          </c:cat>
          <c:val>
            <c:numRef>
              <c:f>Feuil1!$D$6:$AB$6</c:f>
              <c:numCache>
                <c:formatCode>0%</c:formatCode>
                <c:ptCount val="25"/>
                <c:pt idx="0">
                  <c:v>0</c:v>
                </c:pt>
                <c:pt idx="1">
                  <c:v>0</c:v>
                </c:pt>
                <c:pt idx="2">
                  <c:v>0</c:v>
                </c:pt>
                <c:pt idx="3">
                  <c:v>0</c:v>
                </c:pt>
                <c:pt idx="4">
                  <c:v>0</c:v>
                </c:pt>
                <c:pt idx="5">
                  <c:v>0</c:v>
                </c:pt>
                <c:pt idx="6">
                  <c:v>0.2</c:v>
                </c:pt>
                <c:pt idx="7">
                  <c:v>0.2</c:v>
                </c:pt>
                <c:pt idx="8">
                  <c:v>0.5</c:v>
                </c:pt>
                <c:pt idx="9">
                  <c:v>1</c:v>
                </c:pt>
                <c:pt idx="10">
                  <c:v>0.5</c:v>
                </c:pt>
                <c:pt idx="11">
                  <c:v>0.2</c:v>
                </c:pt>
                <c:pt idx="12">
                  <c:v>0.2</c:v>
                </c:pt>
                <c:pt idx="13">
                  <c:v>0.2</c:v>
                </c:pt>
                <c:pt idx="14">
                  <c:v>0.2</c:v>
                </c:pt>
                <c:pt idx="15">
                  <c:v>0.2</c:v>
                </c:pt>
                <c:pt idx="16">
                  <c:v>0.5</c:v>
                </c:pt>
                <c:pt idx="17">
                  <c:v>0.5</c:v>
                </c:pt>
                <c:pt idx="18">
                  <c:v>0.5</c:v>
                </c:pt>
                <c:pt idx="19">
                  <c:v>0.5</c:v>
                </c:pt>
                <c:pt idx="20">
                  <c:v>0.2</c:v>
                </c:pt>
                <c:pt idx="21">
                  <c:v>0.2</c:v>
                </c:pt>
                <c:pt idx="22">
                  <c:v>0.2</c:v>
                </c:pt>
                <c:pt idx="23">
                  <c:v>0.2</c:v>
                </c:pt>
                <c:pt idx="24">
                  <c:v>0</c:v>
                </c:pt>
              </c:numCache>
            </c:numRef>
          </c:val>
          <c:extLst>
            <c:ext xmlns:c16="http://schemas.microsoft.com/office/drawing/2014/chart" uri="{C3380CC4-5D6E-409C-BE32-E72D297353CC}">
              <c16:uniqueId val="{00000000-06D1-2749-80AB-512E8801009B}"/>
            </c:ext>
          </c:extLst>
        </c:ser>
        <c:dLbls>
          <c:showLegendKey val="0"/>
          <c:showVal val="0"/>
          <c:showCatName val="0"/>
          <c:showSerName val="0"/>
          <c:showPercent val="0"/>
          <c:showBubbleSize val="0"/>
        </c:dLbls>
        <c:gapWidth val="150"/>
        <c:axId val="597606271"/>
        <c:axId val="597584799"/>
      </c:barChart>
      <c:lineChart>
        <c:grouping val="standard"/>
        <c:varyColors val="0"/>
        <c:ser>
          <c:idx val="0"/>
          <c:order val="0"/>
          <c:tx>
            <c:strRef>
              <c:f>Feuil1!$C$5</c:f>
              <c:strCache>
                <c:ptCount val="1"/>
                <c:pt idx="0">
                  <c:v>CPU load</c:v>
                </c:pt>
              </c:strCache>
            </c:strRef>
          </c:tx>
          <c:spPr>
            <a:ln w="28575" cap="rnd">
              <a:solidFill>
                <a:schemeClr val="tx1">
                  <a:lumMod val="50000"/>
                  <a:lumOff val="50000"/>
                </a:schemeClr>
              </a:solidFill>
              <a:prstDash val="sysDash"/>
              <a:round/>
            </a:ln>
            <a:effectLst/>
          </c:spPr>
          <c:marker>
            <c:symbol val="none"/>
          </c:marker>
          <c:cat>
            <c:numRef>
              <c:f>Feuil1!$D$4:$AB$4</c:f>
              <c:numCache>
                <c:formatCode>h:mm</c:formatCode>
                <c:ptCount val="25"/>
                <c:pt idx="0">
                  <c:v>0</c:v>
                </c:pt>
                <c:pt idx="1">
                  <c:v>4.1666666666666664E-2</c:v>
                </c:pt>
                <c:pt idx="2">
                  <c:v>8.3333333333333329E-2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numCache>
            </c:numRef>
          </c:cat>
          <c:val>
            <c:numRef>
              <c:f>Feuil1!$D$5:$AB$5</c:f>
              <c:numCache>
                <c:formatCode>0%</c:formatCode>
                <c:ptCount val="25"/>
                <c:pt idx="0">
                  <c:v>0.03</c:v>
                </c:pt>
                <c:pt idx="1">
                  <c:v>0.04</c:v>
                </c:pt>
                <c:pt idx="2">
                  <c:v>0.03</c:v>
                </c:pt>
                <c:pt idx="3">
                  <c:v>0.03</c:v>
                </c:pt>
                <c:pt idx="4">
                  <c:v>0.04</c:v>
                </c:pt>
                <c:pt idx="5">
                  <c:v>0.04</c:v>
                </c:pt>
                <c:pt idx="6">
                  <c:v>0.12</c:v>
                </c:pt>
                <c:pt idx="7">
                  <c:v>0.24</c:v>
                </c:pt>
                <c:pt idx="8">
                  <c:v>0.6</c:v>
                </c:pt>
                <c:pt idx="9">
                  <c:v>0.89999999999999991</c:v>
                </c:pt>
                <c:pt idx="10">
                  <c:v>0.48</c:v>
                </c:pt>
                <c:pt idx="11">
                  <c:v>0.22</c:v>
                </c:pt>
                <c:pt idx="12">
                  <c:v>0.22</c:v>
                </c:pt>
                <c:pt idx="13">
                  <c:v>0.28000000000000003</c:v>
                </c:pt>
                <c:pt idx="14">
                  <c:v>0.28000000000000003</c:v>
                </c:pt>
                <c:pt idx="15">
                  <c:v>0.24</c:v>
                </c:pt>
                <c:pt idx="16">
                  <c:v>0.44999999999999996</c:v>
                </c:pt>
                <c:pt idx="17">
                  <c:v>0.57999999999999996</c:v>
                </c:pt>
                <c:pt idx="18">
                  <c:v>0.56000000000000005</c:v>
                </c:pt>
                <c:pt idx="19">
                  <c:v>0.36</c:v>
                </c:pt>
                <c:pt idx="20">
                  <c:v>0.2</c:v>
                </c:pt>
                <c:pt idx="21">
                  <c:v>0.3</c:v>
                </c:pt>
                <c:pt idx="22">
                  <c:v>0.22</c:v>
                </c:pt>
                <c:pt idx="23">
                  <c:v>0.12</c:v>
                </c:pt>
                <c:pt idx="24">
                  <c:v>0.09</c:v>
                </c:pt>
              </c:numCache>
            </c:numRef>
          </c:val>
          <c:smooth val="0"/>
          <c:extLst>
            <c:ext xmlns:c16="http://schemas.microsoft.com/office/drawing/2014/chart" uri="{C3380CC4-5D6E-409C-BE32-E72D297353CC}">
              <c16:uniqueId val="{00000001-06D1-2749-80AB-512E8801009B}"/>
            </c:ext>
          </c:extLst>
        </c:ser>
        <c:ser>
          <c:idx val="2"/>
          <c:order val="2"/>
          <c:tx>
            <c:strRef>
              <c:f>Feuil1!$C$7</c:f>
              <c:strCache>
                <c:ptCount val="1"/>
                <c:pt idx="0">
                  <c:v>Usage emission factor</c:v>
                </c:pt>
              </c:strCache>
            </c:strRef>
          </c:tx>
          <c:spPr>
            <a:ln w="28575" cap="rnd">
              <a:solidFill>
                <a:srgbClr val="252FAB"/>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6D1-2749-80AB-512E8801009B}"/>
                </c:ext>
              </c:extLst>
            </c:dLbl>
            <c:dLbl>
              <c:idx val="1"/>
              <c:delete val="1"/>
              <c:extLst>
                <c:ext xmlns:c15="http://schemas.microsoft.com/office/drawing/2012/chart" uri="{CE6537A1-D6FC-4f65-9D91-7224C49458BB}"/>
                <c:ext xmlns:c16="http://schemas.microsoft.com/office/drawing/2014/chart" uri="{C3380CC4-5D6E-409C-BE32-E72D297353CC}">
                  <c16:uniqueId val="{00000003-06D1-2749-80AB-512E8801009B}"/>
                </c:ext>
              </c:extLst>
            </c:dLbl>
            <c:dLbl>
              <c:idx val="3"/>
              <c:delete val="1"/>
              <c:extLst>
                <c:ext xmlns:c15="http://schemas.microsoft.com/office/drawing/2012/chart" uri="{CE6537A1-D6FC-4f65-9D91-7224C49458BB}"/>
                <c:ext xmlns:c16="http://schemas.microsoft.com/office/drawing/2014/chart" uri="{C3380CC4-5D6E-409C-BE32-E72D297353CC}">
                  <c16:uniqueId val="{00000004-06D1-2749-80AB-512E8801009B}"/>
                </c:ext>
              </c:extLst>
            </c:dLbl>
            <c:dLbl>
              <c:idx val="4"/>
              <c:delete val="1"/>
              <c:extLst>
                <c:ext xmlns:c15="http://schemas.microsoft.com/office/drawing/2012/chart" uri="{CE6537A1-D6FC-4f65-9D91-7224C49458BB}"/>
                <c:ext xmlns:c16="http://schemas.microsoft.com/office/drawing/2014/chart" uri="{C3380CC4-5D6E-409C-BE32-E72D297353CC}">
                  <c16:uniqueId val="{00000005-06D1-2749-80AB-512E8801009B}"/>
                </c:ext>
              </c:extLst>
            </c:dLbl>
            <c:dLbl>
              <c:idx val="5"/>
              <c:delete val="1"/>
              <c:extLst>
                <c:ext xmlns:c15="http://schemas.microsoft.com/office/drawing/2012/chart" uri="{CE6537A1-D6FC-4f65-9D91-7224C49458BB}"/>
                <c:ext xmlns:c16="http://schemas.microsoft.com/office/drawing/2014/chart" uri="{C3380CC4-5D6E-409C-BE32-E72D297353CC}">
                  <c16:uniqueId val="{00000006-06D1-2749-80AB-512E8801009B}"/>
                </c:ext>
              </c:extLst>
            </c:dLbl>
            <c:dLbl>
              <c:idx val="7"/>
              <c:delete val="1"/>
              <c:extLst>
                <c:ext xmlns:c15="http://schemas.microsoft.com/office/drawing/2012/chart" uri="{CE6537A1-D6FC-4f65-9D91-7224C49458BB}"/>
                <c:ext xmlns:c16="http://schemas.microsoft.com/office/drawing/2014/chart" uri="{C3380CC4-5D6E-409C-BE32-E72D297353CC}">
                  <c16:uniqueId val="{00000007-06D1-2749-80AB-512E8801009B}"/>
                </c:ext>
              </c:extLst>
            </c:dLbl>
            <c:dLbl>
              <c:idx val="8"/>
              <c:layout>
                <c:manualLayout>
                  <c:x val="-4.4775689578571545E-2"/>
                  <c:y val="-4.0188118508532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D1-2749-80AB-512E8801009B}"/>
                </c:ext>
              </c:extLst>
            </c:dLbl>
            <c:dLbl>
              <c:idx val="9"/>
              <c:delete val="1"/>
              <c:extLst>
                <c:ext xmlns:c15="http://schemas.microsoft.com/office/drawing/2012/chart" uri="{CE6537A1-D6FC-4f65-9D91-7224C49458BB}"/>
                <c:ext xmlns:c16="http://schemas.microsoft.com/office/drawing/2014/chart" uri="{C3380CC4-5D6E-409C-BE32-E72D297353CC}">
                  <c16:uniqueId val="{00000009-06D1-2749-80AB-512E8801009B}"/>
                </c:ext>
              </c:extLst>
            </c:dLbl>
            <c:dLbl>
              <c:idx val="10"/>
              <c:layout>
                <c:manualLayout>
                  <c:x val="-6.7063489939352917E-3"/>
                  <c:y val="-4.5376185953409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D1-2749-80AB-512E8801009B}"/>
                </c:ext>
              </c:extLst>
            </c:dLbl>
            <c:dLbl>
              <c:idx val="11"/>
              <c:delete val="1"/>
              <c:extLst>
                <c:ext xmlns:c15="http://schemas.microsoft.com/office/drawing/2012/chart" uri="{CE6537A1-D6FC-4f65-9D91-7224C49458BB}"/>
                <c:ext xmlns:c16="http://schemas.microsoft.com/office/drawing/2014/chart" uri="{C3380CC4-5D6E-409C-BE32-E72D297353CC}">
                  <c16:uniqueId val="{0000000B-06D1-2749-80AB-512E8801009B}"/>
                </c:ext>
              </c:extLst>
            </c:dLbl>
            <c:dLbl>
              <c:idx val="12"/>
              <c:delete val="1"/>
              <c:extLst>
                <c:ext xmlns:c15="http://schemas.microsoft.com/office/drawing/2012/chart" uri="{CE6537A1-D6FC-4f65-9D91-7224C49458BB}"/>
                <c:ext xmlns:c16="http://schemas.microsoft.com/office/drawing/2014/chart" uri="{C3380CC4-5D6E-409C-BE32-E72D297353CC}">
                  <c16:uniqueId val="{0000000C-06D1-2749-80AB-512E8801009B}"/>
                </c:ext>
              </c:extLst>
            </c:dLbl>
            <c:dLbl>
              <c:idx val="14"/>
              <c:delete val="1"/>
              <c:extLst>
                <c:ext xmlns:c15="http://schemas.microsoft.com/office/drawing/2012/chart" uri="{CE6537A1-D6FC-4f65-9D91-7224C49458BB}"/>
                <c:ext xmlns:c16="http://schemas.microsoft.com/office/drawing/2014/chart" uri="{C3380CC4-5D6E-409C-BE32-E72D297353CC}">
                  <c16:uniqueId val="{0000000D-06D1-2749-80AB-512E8801009B}"/>
                </c:ext>
              </c:extLst>
            </c:dLbl>
            <c:dLbl>
              <c:idx val="15"/>
              <c:delete val="1"/>
              <c:extLst>
                <c:ext xmlns:c15="http://schemas.microsoft.com/office/drawing/2012/chart" uri="{CE6537A1-D6FC-4f65-9D91-7224C49458BB}"/>
                <c:ext xmlns:c16="http://schemas.microsoft.com/office/drawing/2014/chart" uri="{C3380CC4-5D6E-409C-BE32-E72D297353CC}">
                  <c16:uniqueId val="{0000000E-06D1-2749-80AB-512E8801009B}"/>
                </c:ext>
              </c:extLst>
            </c:dLbl>
            <c:dLbl>
              <c:idx val="16"/>
              <c:delete val="1"/>
              <c:extLst>
                <c:ext xmlns:c15="http://schemas.microsoft.com/office/drawing/2012/chart" uri="{CE6537A1-D6FC-4f65-9D91-7224C49458BB}"/>
                <c:ext xmlns:c16="http://schemas.microsoft.com/office/drawing/2014/chart" uri="{C3380CC4-5D6E-409C-BE32-E72D297353CC}">
                  <c16:uniqueId val="{0000000F-06D1-2749-80AB-512E8801009B}"/>
                </c:ext>
              </c:extLst>
            </c:dLbl>
            <c:dLbl>
              <c:idx val="17"/>
              <c:layout>
                <c:manualLayout>
                  <c:x val="-5.3467296873411872E-3"/>
                  <c:y val="-3.5000051063655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D1-2749-80AB-512E8801009B}"/>
                </c:ext>
              </c:extLst>
            </c:dLbl>
            <c:dLbl>
              <c:idx val="18"/>
              <c:delete val="1"/>
              <c:extLst>
                <c:ext xmlns:c15="http://schemas.microsoft.com/office/drawing/2012/chart" uri="{CE6537A1-D6FC-4f65-9D91-7224C49458BB}"/>
                <c:ext xmlns:c16="http://schemas.microsoft.com/office/drawing/2014/chart" uri="{C3380CC4-5D6E-409C-BE32-E72D297353CC}">
                  <c16:uniqueId val="{00000011-06D1-2749-80AB-512E8801009B}"/>
                </c:ext>
              </c:extLst>
            </c:dLbl>
            <c:dLbl>
              <c:idx val="19"/>
              <c:delete val="1"/>
              <c:extLst>
                <c:ext xmlns:c15="http://schemas.microsoft.com/office/drawing/2012/chart" uri="{CE6537A1-D6FC-4f65-9D91-7224C49458BB}"/>
                <c:ext xmlns:c16="http://schemas.microsoft.com/office/drawing/2014/chart" uri="{C3380CC4-5D6E-409C-BE32-E72D297353CC}">
                  <c16:uniqueId val="{00000012-06D1-2749-80AB-512E8801009B}"/>
                </c:ext>
              </c:extLst>
            </c:dLbl>
            <c:dLbl>
              <c:idx val="20"/>
              <c:delete val="1"/>
              <c:extLst>
                <c:ext xmlns:c15="http://schemas.microsoft.com/office/drawing/2012/chart" uri="{CE6537A1-D6FC-4f65-9D91-7224C49458BB}"/>
                <c:ext xmlns:c16="http://schemas.microsoft.com/office/drawing/2014/chart" uri="{C3380CC4-5D6E-409C-BE32-E72D297353CC}">
                  <c16:uniqueId val="{00000013-06D1-2749-80AB-512E8801009B}"/>
                </c:ext>
              </c:extLst>
            </c:dLbl>
            <c:dLbl>
              <c:idx val="21"/>
              <c:delete val="1"/>
              <c:extLst>
                <c:ext xmlns:c15="http://schemas.microsoft.com/office/drawing/2012/chart" uri="{CE6537A1-D6FC-4f65-9D91-7224C49458BB}"/>
                <c:ext xmlns:c16="http://schemas.microsoft.com/office/drawing/2014/chart" uri="{C3380CC4-5D6E-409C-BE32-E72D297353CC}">
                  <c16:uniqueId val="{00000014-06D1-2749-80AB-512E8801009B}"/>
                </c:ext>
              </c:extLst>
            </c:dLbl>
            <c:dLbl>
              <c:idx val="22"/>
              <c:layout>
                <c:manualLayout>
                  <c:x val="-4.3416070271977393E-2"/>
                  <c:y val="-4.0188118508532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6D1-2749-80AB-512E8801009B}"/>
                </c:ext>
              </c:extLst>
            </c:dLbl>
            <c:dLbl>
              <c:idx val="23"/>
              <c:delete val="1"/>
              <c:extLst>
                <c:ext xmlns:c15="http://schemas.microsoft.com/office/drawing/2012/chart" uri="{CE6537A1-D6FC-4f65-9D91-7224C49458BB}"/>
                <c:ext xmlns:c16="http://schemas.microsoft.com/office/drawing/2014/chart" uri="{C3380CC4-5D6E-409C-BE32-E72D297353CC}">
                  <c16:uniqueId val="{00000016-06D1-2749-80AB-512E8801009B}"/>
                </c:ext>
              </c:extLst>
            </c:dLbl>
            <c:dLbl>
              <c:idx val="24"/>
              <c:layout>
                <c:manualLayout>
                  <c:x val="-1.836663686923567E-3"/>
                  <c:y val="-4.2782152230971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6D1-2749-80AB-512E880100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Feuil1!$D$4:$AB$4</c:f>
              <c:numCache>
                <c:formatCode>h:mm</c:formatCode>
                <c:ptCount val="25"/>
                <c:pt idx="0">
                  <c:v>0</c:v>
                </c:pt>
                <c:pt idx="1">
                  <c:v>4.1666666666666664E-2</c:v>
                </c:pt>
                <c:pt idx="2">
                  <c:v>8.3333333333333329E-2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numCache>
            </c:numRef>
          </c:cat>
          <c:val>
            <c:numRef>
              <c:f>Feuil1!$D$7:$AB$7</c:f>
              <c:numCache>
                <c:formatCode>0.0%</c:formatCode>
                <c:ptCount val="25"/>
                <c:pt idx="0">
                  <c:v>0.39400000000000002</c:v>
                </c:pt>
                <c:pt idx="1">
                  <c:v>0.39400000000000002</c:v>
                </c:pt>
                <c:pt idx="2">
                  <c:v>0.39400000000000002</c:v>
                </c:pt>
                <c:pt idx="3">
                  <c:v>0.39400000000000002</c:v>
                </c:pt>
                <c:pt idx="4">
                  <c:v>0.39400000000000002</c:v>
                </c:pt>
                <c:pt idx="5">
                  <c:v>0.39400000000000002</c:v>
                </c:pt>
                <c:pt idx="6">
                  <c:v>0.51200000000000001</c:v>
                </c:pt>
                <c:pt idx="7">
                  <c:v>0.51200000000000001</c:v>
                </c:pt>
                <c:pt idx="8">
                  <c:v>0.72400000000000009</c:v>
                </c:pt>
                <c:pt idx="9">
                  <c:v>1</c:v>
                </c:pt>
                <c:pt idx="10">
                  <c:v>0.72400000000000009</c:v>
                </c:pt>
                <c:pt idx="11">
                  <c:v>0.51200000000000001</c:v>
                </c:pt>
                <c:pt idx="12">
                  <c:v>0.51200000000000001</c:v>
                </c:pt>
                <c:pt idx="13">
                  <c:v>0.51200000000000001</c:v>
                </c:pt>
                <c:pt idx="14">
                  <c:v>0.51200000000000001</c:v>
                </c:pt>
                <c:pt idx="15">
                  <c:v>0.51200000000000001</c:v>
                </c:pt>
                <c:pt idx="16">
                  <c:v>0.72400000000000009</c:v>
                </c:pt>
                <c:pt idx="17">
                  <c:v>0.72400000000000009</c:v>
                </c:pt>
                <c:pt idx="18">
                  <c:v>0.72400000000000009</c:v>
                </c:pt>
                <c:pt idx="19">
                  <c:v>0.72400000000000009</c:v>
                </c:pt>
                <c:pt idx="20">
                  <c:v>0.51200000000000001</c:v>
                </c:pt>
                <c:pt idx="21">
                  <c:v>0.51200000000000001</c:v>
                </c:pt>
                <c:pt idx="22">
                  <c:v>0.51200000000000001</c:v>
                </c:pt>
                <c:pt idx="23">
                  <c:v>0.51200000000000001</c:v>
                </c:pt>
                <c:pt idx="24">
                  <c:v>0.39400000000000002</c:v>
                </c:pt>
              </c:numCache>
            </c:numRef>
          </c:val>
          <c:smooth val="0"/>
          <c:extLst>
            <c:ext xmlns:c16="http://schemas.microsoft.com/office/drawing/2014/chart" uri="{C3380CC4-5D6E-409C-BE32-E72D297353CC}">
              <c16:uniqueId val="{00000018-06D1-2749-80AB-512E8801009B}"/>
            </c:ext>
          </c:extLst>
        </c:ser>
        <c:dLbls>
          <c:showLegendKey val="0"/>
          <c:showVal val="0"/>
          <c:showCatName val="0"/>
          <c:showSerName val="0"/>
          <c:showPercent val="0"/>
          <c:showBubbleSize val="0"/>
        </c:dLbls>
        <c:marker val="1"/>
        <c:smooth val="0"/>
        <c:axId val="597606271"/>
        <c:axId val="597584799"/>
      </c:lineChart>
      <c:catAx>
        <c:axId val="597606271"/>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7584799"/>
        <c:crosses val="autoZero"/>
        <c:auto val="1"/>
        <c:lblAlgn val="ctr"/>
        <c:lblOffset val="100"/>
        <c:noMultiLvlLbl val="0"/>
      </c:catAx>
      <c:valAx>
        <c:axId val="59758479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760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12975-DD07-864A-A581-6B84699E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C:\Users\ademiere\Downloads\Word_template.dotx</Template>
  <TotalTime>193</TotalTime>
  <Pages>24</Pages>
  <Words>6659</Words>
  <Characters>36626</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ademiere</dc:creator>
  <cp:keywords/>
  <dc:description/>
  <cp:lastModifiedBy>Anne-Claire Kara</cp:lastModifiedBy>
  <cp:revision>34</cp:revision>
  <dcterms:created xsi:type="dcterms:W3CDTF">2025-06-11T11:35:00Z</dcterms:created>
  <dcterms:modified xsi:type="dcterms:W3CDTF">2025-07-24T13:27:00Z</dcterms:modified>
</cp:coreProperties>
</file>